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F8C" w:rsidRPr="00CC4211" w:rsidRDefault="008D4A02" w:rsidP="00CC4211">
      <w:pPr>
        <w:jc w:val="center"/>
        <w:rPr>
          <w:b/>
          <w:u w:val="single"/>
        </w:rPr>
      </w:pPr>
      <w:bookmarkStart w:id="0" w:name="_GoBack"/>
      <w:bookmarkEnd w:id="0"/>
      <w:r w:rsidRPr="00CC4211">
        <w:rPr>
          <w:b/>
          <w:u w:val="single"/>
        </w:rPr>
        <w:t xml:space="preserve">KRITÉRIA A </w:t>
      </w:r>
      <w:r w:rsidR="00B90C1A" w:rsidRPr="00CC4211">
        <w:rPr>
          <w:b/>
          <w:u w:val="single"/>
        </w:rPr>
        <w:t xml:space="preserve">POSTUP </w:t>
      </w:r>
      <w:r w:rsidRPr="00CC4211">
        <w:rPr>
          <w:b/>
          <w:u w:val="single"/>
        </w:rPr>
        <w:t xml:space="preserve">PRO </w:t>
      </w:r>
      <w:r w:rsidR="00E7144D" w:rsidRPr="00CC4211">
        <w:rPr>
          <w:b/>
          <w:u w:val="single"/>
        </w:rPr>
        <w:t>PŘIDRUŽENÍ</w:t>
      </w:r>
      <w:r w:rsidRPr="00CC4211">
        <w:rPr>
          <w:b/>
          <w:u w:val="single"/>
        </w:rPr>
        <w:t xml:space="preserve"> UNESCO </w:t>
      </w:r>
      <w:r w:rsidR="00E7144D" w:rsidRPr="00CC4211">
        <w:rPr>
          <w:b/>
          <w:u w:val="single"/>
        </w:rPr>
        <w:t>K</w:t>
      </w:r>
      <w:r w:rsidRPr="00CC4211">
        <w:rPr>
          <w:b/>
          <w:u w:val="single"/>
        </w:rPr>
        <w:t xml:space="preserve"> OSLAVÁ</w:t>
      </w:r>
      <w:r w:rsidR="00E7144D" w:rsidRPr="00CC4211">
        <w:rPr>
          <w:b/>
          <w:u w:val="single"/>
        </w:rPr>
        <w:t>M</w:t>
      </w:r>
      <w:r w:rsidRPr="00CC4211">
        <w:rPr>
          <w:b/>
          <w:u w:val="single"/>
        </w:rPr>
        <w:t xml:space="preserve"> VÝROČÍ</w:t>
      </w:r>
    </w:p>
    <w:p w:rsidR="007419B8" w:rsidRPr="00CC4211" w:rsidRDefault="007419B8" w:rsidP="00181F8C">
      <w:pPr>
        <w:jc w:val="both"/>
        <w:rPr>
          <w:b/>
          <w:u w:val="single"/>
        </w:rPr>
      </w:pPr>
    </w:p>
    <w:p w:rsidR="008D4A02" w:rsidRPr="00CC4211" w:rsidRDefault="00181F8C" w:rsidP="00CC4211">
      <w:pPr>
        <w:pStyle w:val="Odstavecseseznamem"/>
        <w:numPr>
          <w:ilvl w:val="0"/>
          <w:numId w:val="8"/>
        </w:numPr>
        <w:ind w:left="567" w:hanging="567"/>
        <w:jc w:val="both"/>
      </w:pPr>
      <w:r w:rsidRPr="00CC4211">
        <w:t xml:space="preserve">UNESCO je </w:t>
      </w:r>
      <w:r w:rsidR="00B90C1A" w:rsidRPr="00CC4211">
        <w:t>přidruženo k</w:t>
      </w:r>
      <w:r w:rsidR="00CA53D1" w:rsidRPr="00CC4211">
        <w:t> připomínk</w:t>
      </w:r>
      <w:r w:rsidR="00B90C1A" w:rsidRPr="00CC4211">
        <w:t>ám</w:t>
      </w:r>
      <w:r w:rsidR="00CA53D1" w:rsidRPr="00CC4211">
        <w:t xml:space="preserve"> historických událostí a výročí výjimečných osobností, které jsou slaveny členskými státy a přidruženými členy</w:t>
      </w:r>
      <w:r w:rsidR="008D4A02" w:rsidRPr="00CC4211">
        <w:t xml:space="preserve">, s cílem dát jim celosvětový význam v souladu s celkovým mandátem Organizace, což je podpora míru, porozumění a sblížení mezi národy, a zvýšení viditelnosti Organizace. </w:t>
      </w:r>
    </w:p>
    <w:p w:rsidR="00CC4211" w:rsidRPr="00CC4211" w:rsidRDefault="00CC4211" w:rsidP="00CC4211">
      <w:pPr>
        <w:pStyle w:val="Odstavecseseznamem"/>
        <w:ind w:left="1065"/>
        <w:jc w:val="both"/>
      </w:pPr>
    </w:p>
    <w:p w:rsidR="008D4A02" w:rsidRPr="00CC4211" w:rsidRDefault="00071DC4" w:rsidP="00CC4211">
      <w:pPr>
        <w:pStyle w:val="Odstavecseseznamem"/>
        <w:numPr>
          <w:ilvl w:val="0"/>
          <w:numId w:val="8"/>
        </w:numPr>
        <w:ind w:left="567" w:hanging="567"/>
        <w:jc w:val="both"/>
      </w:pPr>
      <w:r w:rsidRPr="00CC4211">
        <w:t xml:space="preserve">Generální ředitel UNESCO na začátku </w:t>
      </w:r>
      <w:r w:rsidR="008D4A02" w:rsidRPr="00CC4211">
        <w:t>každé</w:t>
      </w:r>
      <w:r w:rsidRPr="00CC4211">
        <w:t>ho</w:t>
      </w:r>
      <w:r w:rsidR="008D4A02" w:rsidRPr="00CC4211">
        <w:t xml:space="preserve"> </w:t>
      </w:r>
      <w:r w:rsidR="00B90C1A" w:rsidRPr="00CC4211">
        <w:t>dvouleté</w:t>
      </w:r>
      <w:r w:rsidRPr="00CC4211">
        <w:t>ho</w:t>
      </w:r>
      <w:r w:rsidR="00B90C1A" w:rsidRPr="00CC4211">
        <w:t xml:space="preserve"> </w:t>
      </w:r>
      <w:r w:rsidR="008D4A02" w:rsidRPr="00CC4211">
        <w:t xml:space="preserve">období </w:t>
      </w:r>
      <w:r w:rsidRPr="00CC4211">
        <w:t xml:space="preserve">osloví </w:t>
      </w:r>
      <w:r w:rsidR="008D4A02" w:rsidRPr="00CC4211">
        <w:t>národní komise s oběžným dopisem obsahujícím jednoduchý formulář (který je zde v příloze)</w:t>
      </w:r>
      <w:r w:rsidRPr="00CC4211">
        <w:t xml:space="preserve"> pro</w:t>
      </w:r>
      <w:r w:rsidR="008D4A02" w:rsidRPr="00CC4211">
        <w:t xml:space="preserve"> podrobné a přesné informace jejich žádost</w:t>
      </w:r>
      <w:r w:rsidRPr="00CC4211">
        <w:t>i</w:t>
      </w:r>
      <w:r w:rsidR="008D4A02" w:rsidRPr="00CC4211">
        <w:t xml:space="preserve">. Oběžný dopis je </w:t>
      </w:r>
      <w:r w:rsidRPr="00CC4211">
        <w:t>za</w:t>
      </w:r>
      <w:r w:rsidR="008D4A02" w:rsidRPr="00CC4211">
        <w:t xml:space="preserve">slán nejpozději 15. září prvního roku dvouletého období a termín pro nominace je do 15. ledna následujícího roku. </w:t>
      </w:r>
    </w:p>
    <w:p w:rsidR="00CC4211" w:rsidRPr="00CC4211" w:rsidRDefault="00CC4211" w:rsidP="00CC4211">
      <w:pPr>
        <w:pStyle w:val="Odstavecseseznamem"/>
        <w:ind w:left="567" w:hanging="567"/>
        <w:jc w:val="both"/>
      </w:pPr>
    </w:p>
    <w:p w:rsidR="00944E2A" w:rsidRPr="00CC4211" w:rsidRDefault="008D4A02" w:rsidP="00CC4211">
      <w:pPr>
        <w:pStyle w:val="Odstavecseseznamem"/>
        <w:numPr>
          <w:ilvl w:val="0"/>
          <w:numId w:val="8"/>
        </w:numPr>
        <w:ind w:left="567" w:hanging="567"/>
        <w:jc w:val="both"/>
      </w:pPr>
      <w:r w:rsidRPr="00CC4211">
        <w:t>Žádosti jsou podávány členskými státy generálnímu řediteli prostřednic</w:t>
      </w:r>
      <w:r w:rsidR="00071DC4" w:rsidRPr="00CC4211">
        <w:t>t</w:t>
      </w:r>
      <w:r w:rsidRPr="00CC4211">
        <w:t xml:space="preserve">vím národních komisí pro UNESCO nebo prostřednictvím </w:t>
      </w:r>
      <w:r w:rsidR="007419B8" w:rsidRPr="00CC4211">
        <w:t xml:space="preserve">odpovídající </w:t>
      </w:r>
      <w:r w:rsidRPr="00CC4211">
        <w:t>vlád</w:t>
      </w:r>
      <w:r w:rsidR="007419B8" w:rsidRPr="00CC4211">
        <w:t>ní agentury</w:t>
      </w:r>
      <w:r w:rsidRPr="00CC4211">
        <w:t xml:space="preserve">. </w:t>
      </w:r>
    </w:p>
    <w:p w:rsidR="00CC4211" w:rsidRPr="00CC4211" w:rsidRDefault="00CC4211" w:rsidP="00CC4211">
      <w:pPr>
        <w:pStyle w:val="Odstavecseseznamem"/>
        <w:ind w:left="567" w:hanging="567"/>
        <w:jc w:val="both"/>
      </w:pPr>
    </w:p>
    <w:p w:rsidR="008D4A02" w:rsidRPr="00CC4211" w:rsidRDefault="008D4A02" w:rsidP="00CC4211">
      <w:pPr>
        <w:pStyle w:val="Odstavecseseznamem"/>
        <w:numPr>
          <w:ilvl w:val="0"/>
          <w:numId w:val="8"/>
        </w:numPr>
        <w:ind w:left="567" w:hanging="567"/>
        <w:jc w:val="both"/>
      </w:pPr>
      <w:r w:rsidRPr="00CC4211">
        <w:t xml:space="preserve">Každý členský stát může podat maximálně dvě žádosti, přičemž je upřednostňováno, aby se jedna z nich týkala genderové rovnosti. </w:t>
      </w:r>
    </w:p>
    <w:p w:rsidR="00CC4211" w:rsidRPr="00CC4211" w:rsidRDefault="00CC4211" w:rsidP="00CC4211">
      <w:pPr>
        <w:pStyle w:val="Odstavecseseznamem"/>
        <w:ind w:left="567" w:hanging="567"/>
        <w:jc w:val="both"/>
      </w:pPr>
    </w:p>
    <w:p w:rsidR="008D4A02" w:rsidRPr="00CC4211" w:rsidRDefault="008D4A02" w:rsidP="00CC4211">
      <w:pPr>
        <w:pStyle w:val="Odstavecseseznamem"/>
        <w:numPr>
          <w:ilvl w:val="0"/>
          <w:numId w:val="8"/>
        </w:numPr>
        <w:ind w:left="567" w:hanging="567"/>
        <w:jc w:val="both"/>
        <w:rPr>
          <w:b/>
        </w:rPr>
      </w:pPr>
      <w:r w:rsidRPr="00CC4211">
        <w:rPr>
          <w:b/>
        </w:rPr>
        <w:t>Podání:</w:t>
      </w:r>
    </w:p>
    <w:p w:rsidR="008D4A02" w:rsidRDefault="008D4A02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 w:rsidRPr="00CC4211">
        <w:t xml:space="preserve">Žádosti musí být podány co nejdříve a </w:t>
      </w:r>
      <w:r w:rsidR="007419B8" w:rsidRPr="00CC4211">
        <w:t>ne později než je</w:t>
      </w:r>
      <w:r w:rsidR="00CC4211">
        <w:t xml:space="preserve"> </w:t>
      </w:r>
      <w:r w:rsidRPr="00CC4211">
        <w:t>uveden</w:t>
      </w:r>
      <w:r w:rsidR="007419B8" w:rsidRPr="00CC4211">
        <w:t>ý</w:t>
      </w:r>
      <w:r w:rsidRPr="00CC4211">
        <w:t xml:space="preserve"> termín, bez výjimky.</w:t>
      </w:r>
    </w:p>
    <w:p w:rsidR="00D346BC" w:rsidRPr="00CC4211" w:rsidRDefault="00D346BC" w:rsidP="00D346BC">
      <w:pPr>
        <w:pStyle w:val="Odstavecseseznamem"/>
        <w:ind w:left="567"/>
        <w:jc w:val="both"/>
      </w:pPr>
    </w:p>
    <w:p w:rsidR="008D4A02" w:rsidRDefault="008D4A02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 w:rsidRPr="00CC4211">
        <w:t xml:space="preserve">Žádosti musí, pokud je to možné, být podány v elektronické podobě, se záměrem přejít k výhradně elektronickým podáním v řádném řízení. </w:t>
      </w:r>
    </w:p>
    <w:p w:rsidR="00D346BC" w:rsidRPr="00CC4211" w:rsidRDefault="00D346BC" w:rsidP="00D346BC">
      <w:pPr>
        <w:pStyle w:val="Odstavecseseznamem"/>
        <w:ind w:left="567"/>
        <w:jc w:val="both"/>
      </w:pPr>
    </w:p>
    <w:p w:rsidR="008D4A02" w:rsidRDefault="008D4A02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 w:rsidRPr="00CC4211">
        <w:t xml:space="preserve">Na žádosti podané po termínu nebude brán zřetel. </w:t>
      </w:r>
    </w:p>
    <w:p w:rsidR="00CC4211" w:rsidRPr="00CC4211" w:rsidRDefault="00CC4211" w:rsidP="00CC4211">
      <w:pPr>
        <w:pStyle w:val="Odstavecseseznamem"/>
        <w:ind w:left="567"/>
        <w:jc w:val="both"/>
      </w:pPr>
    </w:p>
    <w:p w:rsidR="006571A4" w:rsidRDefault="008D4A02" w:rsidP="00CC4211">
      <w:pPr>
        <w:pStyle w:val="Odstavecseseznamem"/>
        <w:numPr>
          <w:ilvl w:val="0"/>
          <w:numId w:val="8"/>
        </w:numPr>
        <w:ind w:left="567" w:hanging="567"/>
        <w:jc w:val="both"/>
      </w:pPr>
      <w:r w:rsidRPr="00CC4211">
        <w:t xml:space="preserve">Sekretariát potvrdí </w:t>
      </w:r>
      <w:r w:rsidR="006571A4" w:rsidRPr="00CC4211">
        <w:t xml:space="preserve">převzetí žádostí členských států </w:t>
      </w:r>
      <w:r w:rsidR="007419B8" w:rsidRPr="00CC4211">
        <w:t xml:space="preserve">do </w:t>
      </w:r>
      <w:r w:rsidR="006571A4" w:rsidRPr="00CC4211">
        <w:t xml:space="preserve">30 dní po termínu. </w:t>
      </w:r>
    </w:p>
    <w:p w:rsidR="00CC4211" w:rsidRPr="00CC4211" w:rsidRDefault="00CC4211" w:rsidP="00CC4211">
      <w:pPr>
        <w:pStyle w:val="Odstavecseseznamem"/>
        <w:ind w:left="567"/>
        <w:jc w:val="both"/>
      </w:pPr>
    </w:p>
    <w:p w:rsidR="00CC4211" w:rsidRDefault="006571A4" w:rsidP="00CC4211">
      <w:pPr>
        <w:pStyle w:val="Odstavecseseznamem"/>
        <w:numPr>
          <w:ilvl w:val="0"/>
          <w:numId w:val="8"/>
        </w:numPr>
        <w:ind w:left="567" w:hanging="567"/>
        <w:jc w:val="both"/>
      </w:pPr>
      <w:r w:rsidRPr="00CC4211">
        <w:rPr>
          <w:b/>
        </w:rPr>
        <w:t>Schválení žádostí</w:t>
      </w:r>
      <w:r w:rsidR="00CC4211" w:rsidRPr="00CC4211">
        <w:rPr>
          <w:b/>
        </w:rPr>
        <w:t>:</w:t>
      </w:r>
      <w:r w:rsidRPr="00CC4211">
        <w:t xml:space="preserve"> </w:t>
      </w:r>
    </w:p>
    <w:p w:rsidR="006571A4" w:rsidRPr="00CC4211" w:rsidRDefault="006571A4" w:rsidP="00CC4211">
      <w:pPr>
        <w:pStyle w:val="Odstavecseseznamem"/>
        <w:ind w:left="567"/>
        <w:jc w:val="both"/>
      </w:pPr>
      <w:r w:rsidRPr="00CC4211">
        <w:t>Při rozhodování o žádostech zohlední generální ředitel následující:</w:t>
      </w:r>
    </w:p>
    <w:p w:rsidR="003B4251" w:rsidRDefault="006571A4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 w:rsidRPr="00CC4211">
        <w:t>zhodnocení žádosti provedené relevantním</w:t>
      </w:r>
      <w:r w:rsidR="00160816" w:rsidRPr="00CC4211">
        <w:t xml:space="preserve"> sektor</w:t>
      </w:r>
      <w:r w:rsidR="003B4251" w:rsidRPr="00CC4211">
        <w:t>em či sektory v souladu s kritérii uvedenými níže;</w:t>
      </w:r>
    </w:p>
    <w:p w:rsidR="00CC4211" w:rsidRPr="00CC4211" w:rsidRDefault="00CC4211" w:rsidP="00CC4211">
      <w:pPr>
        <w:pStyle w:val="Odstavecseseznamem"/>
        <w:ind w:left="567"/>
        <w:jc w:val="both"/>
      </w:pPr>
    </w:p>
    <w:p w:rsidR="003B4251" w:rsidRDefault="003B4251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 w:rsidRPr="00CC4211">
        <w:t>přidanou hodnotu, kterou m</w:t>
      </w:r>
      <w:r w:rsidR="007419B8" w:rsidRPr="00CC4211">
        <w:t>ohou</w:t>
      </w:r>
      <w:r w:rsidRPr="00CC4211">
        <w:t xml:space="preserve"> oslavy výročí</w:t>
      </w:r>
      <w:r w:rsidR="007419B8" w:rsidRPr="00CC4211">
        <w:t xml:space="preserve"> </w:t>
      </w:r>
      <w:r w:rsidR="00CC4211" w:rsidRPr="00CC4211">
        <w:t>přispět k dosažení</w:t>
      </w:r>
      <w:r w:rsidRPr="00CC4211">
        <w:t xml:space="preserve"> cílů členských států v oblasti aktivit UNESCO a v rámci hlavních priorit stanovených ve Střednědobé strategii (C/4) a Programu a rozpočtu (C/5), schválených Generální konferencí; přednost mohou mít oslavy výročí osobností a událostí, které jsou spojeny s událostmi již zanesenými do rozvrhu prioritních aktivit UNESCO během dvouletého období;</w:t>
      </w:r>
    </w:p>
    <w:p w:rsidR="00CC4211" w:rsidRPr="00CC4211" w:rsidRDefault="00CC4211" w:rsidP="00CC4211">
      <w:pPr>
        <w:pStyle w:val="Odstavecseseznamem"/>
        <w:ind w:left="567"/>
        <w:jc w:val="both"/>
      </w:pPr>
    </w:p>
    <w:p w:rsidR="008D4A02" w:rsidRDefault="001E0514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 w:rsidRPr="00CC4211">
        <w:t>potřebu</w:t>
      </w:r>
      <w:r w:rsidR="003B4251" w:rsidRPr="00CC4211">
        <w:t xml:space="preserve"> </w:t>
      </w:r>
      <w:r w:rsidR="00EE1EE0" w:rsidRPr="00CC4211">
        <w:t>vyvážené rovnováhy v rozdělení výroční, přičemž přednost má Afrika, nejméně rozvinuté země (LDC), gen</w:t>
      </w:r>
      <w:r w:rsidR="00CC4211">
        <w:t xml:space="preserve">derová rovnost, rozvojové země, </w:t>
      </w:r>
      <w:r w:rsidR="00EE1EE0" w:rsidRPr="00CC4211">
        <w:t>země</w:t>
      </w:r>
      <w:r w:rsidR="007419B8" w:rsidRPr="00CC4211">
        <w:t xml:space="preserve"> v procesu transformace</w:t>
      </w:r>
      <w:r w:rsidRPr="00CC4211">
        <w:t xml:space="preserve"> a malé ostrovní rozvojové státy (SIDS); </w:t>
      </w:r>
      <w:r w:rsidR="008D4A02" w:rsidRPr="00CC4211">
        <w:t xml:space="preserve">   </w:t>
      </w:r>
    </w:p>
    <w:p w:rsidR="00CC4211" w:rsidRPr="00CC4211" w:rsidRDefault="00CC4211" w:rsidP="00CC4211">
      <w:pPr>
        <w:pStyle w:val="Odstavecseseznamem"/>
        <w:ind w:left="567"/>
        <w:jc w:val="both"/>
      </w:pPr>
    </w:p>
    <w:p w:rsidR="00CC4211" w:rsidRDefault="001E0514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 w:rsidRPr="00CC4211">
        <w:t>potřebu omezit oslavy výročí na rozumný počet;</w:t>
      </w:r>
    </w:p>
    <w:p w:rsidR="00CC4211" w:rsidRDefault="00CC4211" w:rsidP="00CC4211">
      <w:pPr>
        <w:pStyle w:val="Odstavecseseznamem"/>
        <w:ind w:left="567"/>
        <w:jc w:val="both"/>
      </w:pPr>
    </w:p>
    <w:p w:rsidR="001E0514" w:rsidRDefault="00CC4211" w:rsidP="00CC4211">
      <w:pPr>
        <w:pStyle w:val="Odstavecseseznamem"/>
        <w:numPr>
          <w:ilvl w:val="1"/>
          <w:numId w:val="8"/>
        </w:numPr>
        <w:ind w:left="567" w:hanging="283"/>
        <w:jc w:val="both"/>
      </w:pPr>
      <w:r>
        <w:t>doporučení</w:t>
      </w:r>
      <w:r w:rsidR="001E0514" w:rsidRPr="00CC4211">
        <w:t xml:space="preserve"> </w:t>
      </w:r>
      <w:r w:rsidRPr="00CC4211">
        <w:t>mezirezortního výboru, který posuzuje žádosti o výročí, které musí splnit kritéria uvedená níže.</w:t>
      </w:r>
    </w:p>
    <w:p w:rsidR="00CC4211" w:rsidRDefault="00CC4211" w:rsidP="00CC4211">
      <w:pPr>
        <w:jc w:val="both"/>
      </w:pPr>
    </w:p>
    <w:p w:rsidR="00CC4211" w:rsidRDefault="00CC4211" w:rsidP="00CC4211">
      <w:pPr>
        <w:jc w:val="both"/>
      </w:pPr>
    </w:p>
    <w:p w:rsidR="00F87DAB" w:rsidRPr="00CC4211" w:rsidRDefault="008D7693" w:rsidP="00CC4211">
      <w:pPr>
        <w:ind w:left="567" w:hanging="567"/>
        <w:jc w:val="both"/>
        <w:rPr>
          <w:b/>
        </w:rPr>
      </w:pPr>
      <w:r w:rsidRPr="00CC4211">
        <w:rPr>
          <w:b/>
        </w:rPr>
        <w:lastRenderedPageBreak/>
        <w:t>8.  Kritéria pro výběr výročí</w:t>
      </w:r>
    </w:p>
    <w:p w:rsidR="00F87DAB" w:rsidRPr="00CC4211" w:rsidRDefault="00F87DAB" w:rsidP="00CC4211">
      <w:pPr>
        <w:ind w:left="567" w:hanging="567"/>
        <w:jc w:val="both"/>
        <w:rPr>
          <w:b/>
        </w:rPr>
      </w:pPr>
    </w:p>
    <w:p w:rsidR="00F87DAB" w:rsidRPr="00CC4211" w:rsidRDefault="00F87DAB" w:rsidP="00CC4211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</w:pPr>
      <w:r w:rsidRPr="00CC4211">
        <w:t xml:space="preserve">Každé navržené výročí by mělo mít jasnou spojitost s ideály a posláním této organizace v oblasti vzdělání, vědy, kultury, </w:t>
      </w:r>
      <w:r w:rsidR="001E0514" w:rsidRPr="00CC4211">
        <w:t xml:space="preserve">přírodních věd, </w:t>
      </w:r>
      <w:r w:rsidRPr="00CC4211">
        <w:t>sociálních a humanitních věd i v oblasti komunikace a přispívat ke sbližování národů, myšlenkám míru</w:t>
      </w:r>
      <w:r w:rsidR="00180865" w:rsidRPr="00CC4211">
        <w:t xml:space="preserve"> a tolerance</w:t>
      </w:r>
      <w:r w:rsidRPr="00CC4211">
        <w:t>, dialogu mezi kulturami a vzájemnému porozumění mezi národy.</w:t>
      </w:r>
      <w:r w:rsidR="001C5DFE" w:rsidRPr="00CC4211">
        <w:t xml:space="preserve"> Výročí spojená se současnými prioritami UNESCO a s již naplánovanými akcemi na vysoké úrovni mají mít přednost. </w:t>
      </w:r>
    </w:p>
    <w:p w:rsidR="00F87DAB" w:rsidRPr="00CC4211" w:rsidRDefault="00F87DAB" w:rsidP="00CC4211">
      <w:pPr>
        <w:ind w:left="360" w:hanging="283"/>
        <w:jc w:val="both"/>
      </w:pPr>
    </w:p>
    <w:p w:rsidR="00F87DAB" w:rsidRPr="00CC4211" w:rsidRDefault="00F87DAB" w:rsidP="00CC4211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</w:pPr>
      <w:r w:rsidRPr="00CC4211">
        <w:t>Oslava vzniku, nezávislosti a institucionálního zřízení nějakého státu nebude brána v úvahu a rovněž tak bude vyřazeno výročí válečných událostí.</w:t>
      </w:r>
    </w:p>
    <w:p w:rsidR="00F87DAB" w:rsidRPr="00CC4211" w:rsidRDefault="00F87DAB" w:rsidP="00CC4211">
      <w:pPr>
        <w:tabs>
          <w:tab w:val="num" w:pos="567"/>
        </w:tabs>
        <w:ind w:left="567" w:hanging="283"/>
        <w:jc w:val="both"/>
      </w:pPr>
    </w:p>
    <w:p w:rsidR="00F87DAB" w:rsidRPr="00CC4211" w:rsidRDefault="00F87DAB" w:rsidP="00CC4211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</w:pPr>
      <w:r w:rsidRPr="00CC4211">
        <w:t>Výročí se má vztahovat na osobnosti opravdu univerzálního významu</w:t>
      </w:r>
      <w:r w:rsidR="001C5DFE" w:rsidRPr="00CC4211">
        <w:t>, nominovaných pouze posmrtně,</w:t>
      </w:r>
      <w:r w:rsidR="00CC4211">
        <w:t xml:space="preserve"> a na</w:t>
      </w:r>
      <w:r w:rsidRPr="00CC4211">
        <w:t xml:space="preserve"> události, která mají skutečný světový či alespoň regionální dopad</w:t>
      </w:r>
      <w:r w:rsidR="001C5DFE" w:rsidRPr="00CC4211">
        <w:t>, a jsou nesporně známé za hranicemi své země,</w:t>
      </w:r>
      <w:r w:rsidRPr="00CC4211">
        <w:t xml:space="preserve"> a odrážet při tom ideály, hodnoty, rozmanitost kultur a univerzalitu této organizace.</w:t>
      </w:r>
    </w:p>
    <w:p w:rsidR="00F87DAB" w:rsidRPr="00CC4211" w:rsidRDefault="00F87DAB" w:rsidP="00CC4211">
      <w:pPr>
        <w:tabs>
          <w:tab w:val="num" w:pos="567"/>
        </w:tabs>
        <w:ind w:left="567" w:hanging="283"/>
        <w:jc w:val="both"/>
      </w:pPr>
    </w:p>
    <w:p w:rsidR="00F87DAB" w:rsidRPr="00CC4211" w:rsidRDefault="00F87DAB" w:rsidP="00CC4211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</w:pPr>
      <w:r w:rsidRPr="00CC4211">
        <w:t>Výročí by mělo být padesátileté, stoleté, nebo by se mělo jednat o nějaký násobek tohoto čísla</w:t>
      </w:r>
      <w:r w:rsidR="001C5DFE" w:rsidRPr="00CC4211">
        <w:t xml:space="preserve">. </w:t>
      </w:r>
    </w:p>
    <w:p w:rsidR="00F87DAB" w:rsidRPr="00CC4211" w:rsidRDefault="00F87DAB" w:rsidP="00CC4211">
      <w:pPr>
        <w:tabs>
          <w:tab w:val="num" w:pos="567"/>
        </w:tabs>
        <w:ind w:left="567" w:hanging="283"/>
        <w:jc w:val="both"/>
      </w:pPr>
    </w:p>
    <w:p w:rsidR="00F87DAB" w:rsidRPr="00CC4211" w:rsidRDefault="00F87DAB" w:rsidP="00CC4211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</w:pPr>
      <w:r w:rsidRPr="00CC4211">
        <w:t xml:space="preserve"> </w:t>
      </w:r>
      <w:proofErr w:type="spellStart"/>
      <w:r w:rsidR="001C5DFE" w:rsidRPr="00CC4211">
        <w:t>Subregionální</w:t>
      </w:r>
      <w:proofErr w:type="spellEnd"/>
      <w:r w:rsidR="001C5DFE" w:rsidRPr="00CC4211">
        <w:t xml:space="preserve">, regionální nebo mezinárodní akce musí být </w:t>
      </w:r>
      <w:r w:rsidRPr="00CC4211">
        <w:t xml:space="preserve">předem naplánovány </w:t>
      </w:r>
      <w:r w:rsidR="00657EDC" w:rsidRPr="00CC4211">
        <w:t xml:space="preserve">na období výročí </w:t>
      </w:r>
      <w:r w:rsidRPr="00CC4211">
        <w:t xml:space="preserve">a na jejich pořádání </w:t>
      </w:r>
      <w:r w:rsidR="00180865" w:rsidRPr="00CC4211">
        <w:t xml:space="preserve">musí být </w:t>
      </w:r>
      <w:r w:rsidRPr="00CC4211">
        <w:t>poskytnuty členským státem nebo přímo dotčenými členskými státy určité prostředky.</w:t>
      </w:r>
    </w:p>
    <w:p w:rsidR="00F87DAB" w:rsidRPr="00CC4211" w:rsidRDefault="00F87DAB" w:rsidP="00CC4211">
      <w:pPr>
        <w:tabs>
          <w:tab w:val="num" w:pos="567"/>
        </w:tabs>
        <w:ind w:left="567" w:hanging="283"/>
        <w:jc w:val="both"/>
      </w:pPr>
    </w:p>
    <w:p w:rsidR="00F87DAB" w:rsidRPr="00CC4211" w:rsidRDefault="00657EDC" w:rsidP="00CC4211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</w:pPr>
      <w:r w:rsidRPr="00CC4211">
        <w:t xml:space="preserve">Všechna výročí by měla přednostně být předložena s podporou </w:t>
      </w:r>
      <w:r w:rsidR="008D7693" w:rsidRPr="00CC4211">
        <w:t xml:space="preserve">nejméně dvou dalších států nebo regionální skupiny. </w:t>
      </w:r>
      <w:r w:rsidR="00F87DAB" w:rsidRPr="00CC4211">
        <w:t>Každý návrh výročí zahrnující několik států musí být předložen všemi státy.</w:t>
      </w:r>
    </w:p>
    <w:p w:rsidR="00F87DAB" w:rsidRPr="00CC4211" w:rsidRDefault="00F87DAB" w:rsidP="00CC4211">
      <w:pPr>
        <w:tabs>
          <w:tab w:val="num" w:pos="567"/>
        </w:tabs>
        <w:ind w:left="567" w:hanging="283"/>
        <w:jc w:val="both"/>
      </w:pPr>
    </w:p>
    <w:p w:rsidR="008D7693" w:rsidRPr="00CC4211" w:rsidRDefault="00F87DAB" w:rsidP="00CC4211">
      <w:pPr>
        <w:numPr>
          <w:ilvl w:val="0"/>
          <w:numId w:val="2"/>
        </w:numPr>
        <w:tabs>
          <w:tab w:val="clear" w:pos="720"/>
          <w:tab w:val="num" w:pos="567"/>
        </w:tabs>
        <w:ind w:left="567" w:hanging="283"/>
        <w:jc w:val="both"/>
      </w:pPr>
      <w:r w:rsidRPr="00CC4211">
        <w:t>Žádosti týkající se součástí nehmotného dědictví, které zahrnuje ústní tradice a projevy; scénické umění; sociální praktiky a slavnostní události a rituály; dovednosti a znalosti týkající se přírody a vesmíru a také tradiční řemeslné techniky, nebudou brány v potaz, neboť je nemožné časově je situovat.</w:t>
      </w:r>
    </w:p>
    <w:p w:rsidR="00F87DAB" w:rsidRPr="00CC4211" w:rsidRDefault="00F87DAB" w:rsidP="00180865">
      <w:pPr>
        <w:jc w:val="both"/>
      </w:pPr>
    </w:p>
    <w:p w:rsidR="00F87DAB" w:rsidRPr="00D346BC" w:rsidRDefault="008D7693" w:rsidP="00D346BC">
      <w:pPr>
        <w:ind w:left="567" w:hanging="567"/>
        <w:jc w:val="both"/>
        <w:rPr>
          <w:b/>
        </w:rPr>
      </w:pPr>
      <w:r w:rsidRPr="00CC4211">
        <w:rPr>
          <w:b/>
        </w:rPr>
        <w:t>9.</w:t>
      </w:r>
      <w:r w:rsidR="00CC4211">
        <w:rPr>
          <w:b/>
        </w:rPr>
        <w:t xml:space="preserve"> </w:t>
      </w:r>
      <w:r w:rsidRPr="00CC4211">
        <w:rPr>
          <w:b/>
        </w:rPr>
        <w:t>Posuzování žádostí řídícími orgány</w:t>
      </w:r>
      <w:r w:rsidR="00D346BC">
        <w:rPr>
          <w:b/>
        </w:rPr>
        <w:t>:</w:t>
      </w:r>
      <w:r w:rsidRPr="00CC4211">
        <w:rPr>
          <w:b/>
        </w:rPr>
        <w:t xml:space="preserve"> </w:t>
      </w:r>
    </w:p>
    <w:p w:rsidR="004C083A" w:rsidRPr="00CC4211" w:rsidRDefault="00F87DAB" w:rsidP="004D0673">
      <w:pPr>
        <w:numPr>
          <w:ilvl w:val="0"/>
          <w:numId w:val="4"/>
        </w:numPr>
        <w:tabs>
          <w:tab w:val="clear" w:pos="1065"/>
          <w:tab w:val="num" w:pos="567"/>
        </w:tabs>
        <w:ind w:left="567" w:hanging="425"/>
        <w:jc w:val="both"/>
      </w:pPr>
      <w:r w:rsidRPr="00CC4211">
        <w:t xml:space="preserve">Sekretariát na základě návrhů meziresortního výboru připraví dokument popisující každé vybrané výročí spolu se souvisejícími historickými biografickými informacemi. </w:t>
      </w:r>
    </w:p>
    <w:p w:rsidR="004C083A" w:rsidRPr="00CC4211" w:rsidRDefault="004C083A" w:rsidP="004D0673">
      <w:pPr>
        <w:pStyle w:val="Odstavecseseznamem"/>
        <w:tabs>
          <w:tab w:val="num" w:pos="426"/>
          <w:tab w:val="num" w:pos="567"/>
        </w:tabs>
        <w:ind w:left="567" w:hanging="425"/>
      </w:pPr>
    </w:p>
    <w:p w:rsidR="00F87DAB" w:rsidRPr="00CC4211" w:rsidRDefault="004D0673" w:rsidP="004D0673">
      <w:pPr>
        <w:numPr>
          <w:ilvl w:val="0"/>
          <w:numId w:val="4"/>
        </w:numPr>
        <w:tabs>
          <w:tab w:val="clear" w:pos="1065"/>
          <w:tab w:val="num" w:pos="426"/>
          <w:tab w:val="num" w:pos="567"/>
        </w:tabs>
        <w:ind w:left="567" w:hanging="425"/>
        <w:jc w:val="both"/>
      </w:pPr>
      <w:r>
        <w:t xml:space="preserve"> </w:t>
      </w:r>
      <w:r w:rsidR="00F87DAB" w:rsidRPr="00CC4211">
        <w:t xml:space="preserve">Tento dokument bude předložen k rozhodnutí </w:t>
      </w:r>
      <w:r w:rsidR="0074339F" w:rsidRPr="00CC4211">
        <w:t>Výkonné radě na jejím prvním zasedání v druhém roce dvouletého období. Dále Sekretariát informuje členské státy o výročích, které navrhuje vybrat anebo vyškrtnout ze seznamu, ve druhém případě spolu s relevantním vysvětlením.</w:t>
      </w:r>
    </w:p>
    <w:p w:rsidR="00F87DAB" w:rsidRPr="00CC4211" w:rsidRDefault="00F87DAB" w:rsidP="004D0673">
      <w:pPr>
        <w:tabs>
          <w:tab w:val="num" w:pos="426"/>
          <w:tab w:val="num" w:pos="567"/>
        </w:tabs>
        <w:ind w:left="567" w:hanging="425"/>
        <w:jc w:val="both"/>
      </w:pPr>
    </w:p>
    <w:p w:rsidR="00F87DAB" w:rsidRPr="00CC4211" w:rsidRDefault="004D0673" w:rsidP="004D0673">
      <w:pPr>
        <w:numPr>
          <w:ilvl w:val="0"/>
          <w:numId w:val="4"/>
        </w:numPr>
        <w:tabs>
          <w:tab w:val="clear" w:pos="1065"/>
          <w:tab w:val="num" w:pos="426"/>
          <w:tab w:val="num" w:pos="567"/>
        </w:tabs>
        <w:ind w:left="567" w:hanging="425"/>
        <w:jc w:val="both"/>
      </w:pPr>
      <w:r>
        <w:t xml:space="preserve"> </w:t>
      </w:r>
      <w:r w:rsidR="006C6A12" w:rsidRPr="00CC4211">
        <w:t xml:space="preserve">Dotčené členské státy mají dva měsíce od konce zasedání Výkonné rady k případné úpravě svých žádostí týkajících se výročí, které byly odmítnuty z důvodu, že zjevně nesplňují přijatá kritéria. </w:t>
      </w:r>
    </w:p>
    <w:p w:rsidR="006C6A12" w:rsidRPr="00CC4211" w:rsidRDefault="006C6A12" w:rsidP="004D0673">
      <w:pPr>
        <w:pStyle w:val="Odstavecseseznamem"/>
        <w:tabs>
          <w:tab w:val="num" w:pos="426"/>
          <w:tab w:val="num" w:pos="567"/>
        </w:tabs>
      </w:pPr>
    </w:p>
    <w:p w:rsidR="006C6A12" w:rsidRPr="00CC4211" w:rsidRDefault="004D0673" w:rsidP="004D0673">
      <w:pPr>
        <w:numPr>
          <w:ilvl w:val="0"/>
          <w:numId w:val="4"/>
        </w:numPr>
        <w:tabs>
          <w:tab w:val="clear" w:pos="1065"/>
          <w:tab w:val="num" w:pos="426"/>
          <w:tab w:val="num" w:pos="567"/>
        </w:tabs>
        <w:ind w:left="567" w:hanging="425"/>
        <w:jc w:val="both"/>
      </w:pPr>
      <w:r>
        <w:t xml:space="preserve"> </w:t>
      </w:r>
      <w:r w:rsidR="006C6A12" w:rsidRPr="00CC4211">
        <w:t xml:space="preserve">Během lhůty pro odvolání mohou dále nezastoupené nebo málo zastoupené členské státy podávat nové žádosti. </w:t>
      </w:r>
    </w:p>
    <w:p w:rsidR="00F87DAB" w:rsidRPr="00CC4211" w:rsidRDefault="00F87DAB" w:rsidP="004D0673">
      <w:pPr>
        <w:tabs>
          <w:tab w:val="num" w:pos="426"/>
          <w:tab w:val="num" w:pos="567"/>
        </w:tabs>
        <w:jc w:val="both"/>
      </w:pPr>
    </w:p>
    <w:p w:rsidR="00F87DAB" w:rsidRPr="00CC4211" w:rsidRDefault="00F87DAB" w:rsidP="00D346BC">
      <w:pPr>
        <w:numPr>
          <w:ilvl w:val="0"/>
          <w:numId w:val="4"/>
        </w:numPr>
        <w:tabs>
          <w:tab w:val="clear" w:pos="1065"/>
          <w:tab w:val="num" w:pos="567"/>
        </w:tabs>
        <w:ind w:left="567" w:hanging="283"/>
        <w:jc w:val="both"/>
      </w:pPr>
      <w:r w:rsidRPr="00CC4211">
        <w:lastRenderedPageBreak/>
        <w:t>Výkonn</w:t>
      </w:r>
      <w:r w:rsidR="00D768C1" w:rsidRPr="00CC4211">
        <w:t xml:space="preserve">á rada </w:t>
      </w:r>
      <w:r w:rsidRPr="00CC4211">
        <w:t xml:space="preserve">na svém zasedání </w:t>
      </w:r>
      <w:r w:rsidR="00180865" w:rsidRPr="00CC4211">
        <w:t xml:space="preserve">v roce </w:t>
      </w:r>
      <w:r w:rsidRPr="00CC4211">
        <w:t>před zahájením</w:t>
      </w:r>
      <w:r w:rsidR="00D346BC">
        <w:t xml:space="preserve"> </w:t>
      </w:r>
      <w:r w:rsidRPr="00CC4211">
        <w:t xml:space="preserve">Generální konference rozhodne o </w:t>
      </w:r>
      <w:r w:rsidR="00D768C1" w:rsidRPr="00CC4211">
        <w:t xml:space="preserve">nových </w:t>
      </w:r>
      <w:r w:rsidRPr="00CC4211">
        <w:t xml:space="preserve">žádostech, </w:t>
      </w:r>
      <w:r w:rsidR="00D768C1" w:rsidRPr="00CC4211">
        <w:t xml:space="preserve">o žádostech, </w:t>
      </w:r>
      <w:r w:rsidRPr="00CC4211">
        <w:t xml:space="preserve">které byly předmětem </w:t>
      </w:r>
      <w:r w:rsidR="00D768C1" w:rsidRPr="00CC4211">
        <w:t xml:space="preserve">odvolání </w:t>
      </w:r>
      <w:r w:rsidRPr="00CC4211">
        <w:t xml:space="preserve"> a</w:t>
      </w:r>
      <w:r w:rsidR="00D768C1" w:rsidRPr="00CC4211">
        <w:t>/nebo</w:t>
      </w:r>
      <w:r w:rsidRPr="00CC4211">
        <w:t xml:space="preserve"> přezkoumání meziresortním výborem a které na základě nového formulování podle mínění generálního ředitele odpovídají schváleným kritériím.</w:t>
      </w:r>
    </w:p>
    <w:p w:rsidR="00F87DAB" w:rsidRPr="00CC4211" w:rsidRDefault="00F87DAB" w:rsidP="00D346BC">
      <w:pPr>
        <w:tabs>
          <w:tab w:val="num" w:pos="567"/>
        </w:tabs>
        <w:ind w:left="567" w:hanging="283"/>
        <w:jc w:val="both"/>
      </w:pPr>
    </w:p>
    <w:p w:rsidR="00F87DAB" w:rsidRPr="00CC4211" w:rsidRDefault="00F87DAB" w:rsidP="00D346BC">
      <w:pPr>
        <w:numPr>
          <w:ilvl w:val="0"/>
          <w:numId w:val="4"/>
        </w:numPr>
        <w:tabs>
          <w:tab w:val="clear" w:pos="1065"/>
          <w:tab w:val="num" w:pos="567"/>
        </w:tabs>
        <w:ind w:left="567" w:hanging="283"/>
        <w:jc w:val="both"/>
      </w:pPr>
      <w:r w:rsidRPr="00CC4211">
        <w:t>Generální konference rozhodne na </w:t>
      </w:r>
      <w:r w:rsidR="00180865" w:rsidRPr="00CC4211">
        <w:t xml:space="preserve">základě </w:t>
      </w:r>
      <w:r w:rsidRPr="00CC4211">
        <w:t xml:space="preserve">seznamu přijatém </w:t>
      </w:r>
      <w:r w:rsidR="00B1783F" w:rsidRPr="00CC4211">
        <w:t>V</w:t>
      </w:r>
      <w:r w:rsidRPr="00CC4211">
        <w:t>ýkonn</w:t>
      </w:r>
      <w:r w:rsidR="00CC4211">
        <w:t>ou</w:t>
      </w:r>
      <w:r w:rsidRPr="00CC4211">
        <w:t xml:space="preserve"> </w:t>
      </w:r>
      <w:r w:rsidR="00CC4211">
        <w:t>radou</w:t>
      </w:r>
      <w:r w:rsidRPr="00CC4211">
        <w:t xml:space="preserve"> o výročích, k </w:t>
      </w:r>
      <w:r w:rsidR="00C12093" w:rsidRPr="00CC4211">
        <w:t xml:space="preserve">jejichž oslavám </w:t>
      </w:r>
      <w:r w:rsidRPr="00CC4211">
        <w:t>by se organizace během následujícího dvouletého období mohla připojit.</w:t>
      </w:r>
    </w:p>
    <w:p w:rsidR="00B1783F" w:rsidRPr="00CC4211" w:rsidRDefault="00B1783F" w:rsidP="00B90C1A">
      <w:pPr>
        <w:jc w:val="both"/>
      </w:pPr>
    </w:p>
    <w:p w:rsidR="00B1783F" w:rsidRPr="00CC4211" w:rsidRDefault="00B1783F" w:rsidP="00D346BC">
      <w:pPr>
        <w:ind w:left="567" w:hanging="567"/>
        <w:jc w:val="both"/>
      </w:pPr>
      <w:r w:rsidRPr="00CC4211">
        <w:t>10.</w:t>
      </w:r>
      <w:r w:rsidR="00D346BC">
        <w:t xml:space="preserve">    </w:t>
      </w:r>
      <w:r w:rsidRPr="00CC4211">
        <w:rPr>
          <w:b/>
        </w:rPr>
        <w:t>Provádění</w:t>
      </w:r>
      <w:r w:rsidR="00D346BC">
        <w:t>:</w:t>
      </w:r>
    </w:p>
    <w:p w:rsidR="00B1783F" w:rsidRPr="00CC4211" w:rsidRDefault="00D346BC" w:rsidP="00D346BC">
      <w:pPr>
        <w:ind w:left="567" w:hanging="283"/>
        <w:jc w:val="both"/>
      </w:pPr>
      <w:r>
        <w:t>a) Provádění</w:t>
      </w:r>
      <w:r w:rsidR="00B1783F" w:rsidRPr="00CC4211">
        <w:t xml:space="preserve"> činnost</w:t>
      </w:r>
      <w:r w:rsidR="00C12093" w:rsidRPr="00CC4211">
        <w:t>í</w:t>
      </w:r>
      <w:r w:rsidR="00B1783F" w:rsidRPr="00CC4211">
        <w:t xml:space="preserve"> spojen</w:t>
      </w:r>
      <w:r w:rsidR="00C12093" w:rsidRPr="00CC4211">
        <w:t>ých</w:t>
      </w:r>
      <w:r w:rsidR="00B1783F" w:rsidRPr="00CC4211">
        <w:t xml:space="preserve"> s oslavou výročí je odpovědností provádějícího členského státu. Žádost podaná generálnímu řediteli musí obsahovat informace o konkrétně stanovených datech začátku a konce provádění, odhadované náklady (v USD), finanční zdroje požadované nebo očekávané od členských států nebo soukromých institucí a webovou stránku/aplikaci používanou jako </w:t>
      </w:r>
      <w:r w:rsidR="00C12093" w:rsidRPr="00CC4211">
        <w:t xml:space="preserve">komunikační </w:t>
      </w:r>
      <w:r w:rsidR="00B1783F" w:rsidRPr="00CC4211">
        <w:t>nástroj;</w:t>
      </w:r>
    </w:p>
    <w:p w:rsidR="00B1783F" w:rsidRPr="00CC4211" w:rsidRDefault="00B1783F" w:rsidP="00D346BC">
      <w:pPr>
        <w:ind w:left="567" w:hanging="283"/>
        <w:jc w:val="both"/>
      </w:pPr>
    </w:p>
    <w:p w:rsidR="00B1783F" w:rsidRPr="00CC4211" w:rsidRDefault="00B1783F" w:rsidP="00D346BC">
      <w:pPr>
        <w:ind w:left="567" w:hanging="283"/>
        <w:jc w:val="both"/>
      </w:pPr>
      <w:r w:rsidRPr="00CC4211">
        <w:t xml:space="preserve">b) Členský stát musí naplánovat alespoň jednu </w:t>
      </w:r>
      <w:proofErr w:type="spellStart"/>
      <w:r w:rsidRPr="00CC4211">
        <w:t>subregionální</w:t>
      </w:r>
      <w:proofErr w:type="spellEnd"/>
      <w:r w:rsidRPr="00CC4211">
        <w:t>, regionální nebo mezinárodní akci (regionální/mezinárodní konferenci, výstavu, komunikační materiál ve více jazycích, akci/výstavu pořádanou v sídle UNESCO atd.);</w:t>
      </w:r>
    </w:p>
    <w:p w:rsidR="00C12093" w:rsidRPr="00CC4211" w:rsidRDefault="00C12093" w:rsidP="00D346BC">
      <w:pPr>
        <w:ind w:left="567" w:hanging="283"/>
        <w:jc w:val="both"/>
      </w:pPr>
    </w:p>
    <w:p w:rsidR="004C12AD" w:rsidRPr="00CC4211" w:rsidRDefault="00B1783F" w:rsidP="00D346BC">
      <w:pPr>
        <w:ind w:left="567" w:hanging="283"/>
        <w:jc w:val="both"/>
      </w:pPr>
      <w:r w:rsidRPr="00CC4211">
        <w:t xml:space="preserve">c) Při provádění činností týkajících se oslav výročí jsou členské státy vyzvány ke spolupráci </w:t>
      </w:r>
      <w:r w:rsidR="004C12AD" w:rsidRPr="00CC4211">
        <w:t>se sítí UNESCO v dotčených zemích nebo regionech;</w:t>
      </w:r>
    </w:p>
    <w:p w:rsidR="00C12093" w:rsidRPr="00CC4211" w:rsidRDefault="00C12093" w:rsidP="00D346BC">
      <w:pPr>
        <w:ind w:left="567" w:hanging="283"/>
        <w:jc w:val="both"/>
      </w:pPr>
    </w:p>
    <w:p w:rsidR="00B1783F" w:rsidRPr="00CC4211" w:rsidRDefault="004C12AD" w:rsidP="00D346BC">
      <w:pPr>
        <w:ind w:left="567" w:hanging="283"/>
        <w:jc w:val="both"/>
      </w:pPr>
      <w:r w:rsidRPr="00CC4211">
        <w:t>d) Výsledky oslav výročí spojených s</w:t>
      </w:r>
      <w:r w:rsidR="00FF1245" w:rsidRPr="00CC4211">
        <w:t> cíli a prioritami UNESCO a nejdůležitějšími akcemi této organizace, budou</w:t>
      </w:r>
      <w:r w:rsidR="00503288" w:rsidRPr="00CC4211">
        <w:t xml:space="preserve"> uveřejněny na webu UNESCO. Zprávy z aktivit (se seznamem institucí zapojených do oslav, uskutečněných činností, odhadovaným počtem účastníků, </w:t>
      </w:r>
      <w:r w:rsidR="00424959" w:rsidRPr="00CC4211">
        <w:t>mediální odezvou a dalšími měřitelnými výsledky spojenými s oslavami výročí)</w:t>
      </w:r>
      <w:r w:rsidR="00C12093" w:rsidRPr="00CC4211">
        <w:t>podané</w:t>
      </w:r>
      <w:r w:rsidR="00424959" w:rsidRPr="00CC4211">
        <w:t xml:space="preserve"> členskými státy po skončení oslav každého výročí Sekretariát </w:t>
      </w:r>
      <w:r w:rsidR="00C12093" w:rsidRPr="00CC4211">
        <w:t>v</w:t>
      </w:r>
      <w:r w:rsidR="004D0673">
        <w:t>y</w:t>
      </w:r>
      <w:r w:rsidR="00424959" w:rsidRPr="00CC4211">
        <w:t xml:space="preserve">užije k posouzení vlivu a výsledků programu výročí a jeho souladu s cíli a prioritami stanovenými organizací UNESCO; </w:t>
      </w:r>
      <w:r w:rsidR="00503288" w:rsidRPr="00CC4211">
        <w:t xml:space="preserve"> </w:t>
      </w:r>
      <w:r w:rsidR="00B1783F" w:rsidRPr="00CC4211">
        <w:t xml:space="preserve"> </w:t>
      </w:r>
    </w:p>
    <w:p w:rsidR="00F87DAB" w:rsidRPr="00CC4211" w:rsidRDefault="00F87DAB" w:rsidP="00F87DAB">
      <w:pPr>
        <w:jc w:val="both"/>
      </w:pPr>
    </w:p>
    <w:p w:rsidR="00F87DAB" w:rsidRPr="00CC4211" w:rsidRDefault="00424959" w:rsidP="004D0673">
      <w:pPr>
        <w:ind w:left="567" w:hanging="283"/>
        <w:jc w:val="both"/>
      </w:pPr>
      <w:r w:rsidRPr="00CC4211">
        <w:t xml:space="preserve">e) </w:t>
      </w:r>
      <w:r w:rsidR="00F87DAB" w:rsidRPr="00CC4211">
        <w:t xml:space="preserve">Použití jména a </w:t>
      </w:r>
      <w:r w:rsidR="00C12093" w:rsidRPr="00CC4211">
        <w:t>loga</w:t>
      </w:r>
      <w:r w:rsidRPr="00CC4211">
        <w:t xml:space="preserve"> </w:t>
      </w:r>
      <w:r w:rsidR="00F87DAB" w:rsidRPr="00CC4211">
        <w:t xml:space="preserve">UNESCO </w:t>
      </w:r>
      <w:r w:rsidRPr="00CC4211">
        <w:t>pro činnosti schválené v programu výročí</w:t>
      </w:r>
      <w:r w:rsidR="000610CC" w:rsidRPr="00CC4211">
        <w:t xml:space="preserve">, </w:t>
      </w:r>
      <w:r w:rsidR="00F87DAB" w:rsidRPr="00CC4211">
        <w:t>v souladu s</w:t>
      </w:r>
      <w:r w:rsidR="000610CC" w:rsidRPr="00CC4211">
        <w:t>e směrnicemi schváleným</w:t>
      </w:r>
      <w:r w:rsidR="00D346BC">
        <w:t xml:space="preserve"> </w:t>
      </w:r>
      <w:r w:rsidR="00F87DAB" w:rsidRPr="00CC4211">
        <w:t>řídícími orgány</w:t>
      </w:r>
      <w:r w:rsidR="000610CC" w:rsidRPr="00CC4211">
        <w:t xml:space="preserve">, zvýší atraktivitu programu, ať už je prováděný na národní, </w:t>
      </w:r>
      <w:proofErr w:type="spellStart"/>
      <w:r w:rsidR="000610CC" w:rsidRPr="00CC4211">
        <w:t>subregionální</w:t>
      </w:r>
      <w:proofErr w:type="spellEnd"/>
      <w:r w:rsidR="000610CC" w:rsidRPr="00CC4211">
        <w:t xml:space="preserve">, regionální nebo mezinárodní úrovni; a příjemci podají zprávu o </w:t>
      </w:r>
      <w:r w:rsidR="00C12093" w:rsidRPr="00CC4211">
        <w:t xml:space="preserve">takto </w:t>
      </w:r>
      <w:r w:rsidR="000610CC" w:rsidRPr="00CC4211">
        <w:t>dosažených výsledcích;</w:t>
      </w:r>
    </w:p>
    <w:p w:rsidR="00C12093" w:rsidRPr="00CC4211" w:rsidRDefault="00C12093" w:rsidP="004D0673">
      <w:pPr>
        <w:ind w:left="567" w:hanging="283"/>
        <w:jc w:val="both"/>
      </w:pPr>
    </w:p>
    <w:p w:rsidR="00A50206" w:rsidRPr="00CC4211" w:rsidRDefault="004D0673" w:rsidP="004D0673">
      <w:pPr>
        <w:ind w:left="567" w:hanging="283"/>
        <w:jc w:val="both"/>
      </w:pPr>
      <w:r>
        <w:t>f) V souladu s 30 C/</w:t>
      </w:r>
      <w:r w:rsidR="000610CC" w:rsidRPr="00CC4211">
        <w:t xml:space="preserve">Rezolucí 58 budou všechny příspěvky UNESCO na tyto oslavy financovány v rámci </w:t>
      </w:r>
      <w:r w:rsidR="00C12093" w:rsidRPr="00CC4211">
        <w:t>Participačního programu</w:t>
      </w:r>
      <w:r w:rsidR="000610CC" w:rsidRPr="00CC4211">
        <w:t xml:space="preserve">, podle jeho pravidel. Nicméně, v zájmu vyváženého rozdělení prostředků </w:t>
      </w:r>
      <w:r w:rsidR="001C62C6" w:rsidRPr="00CC4211">
        <w:t>tohoto programu</w:t>
      </w:r>
      <w:r w:rsidR="00C12093" w:rsidRPr="00CC4211">
        <w:t>,</w:t>
      </w:r>
      <w:r w:rsidR="001C62C6" w:rsidRPr="00CC4211">
        <w:t xml:space="preserve"> musí uvedená finanční podpora zůstat výjimečnou a spojenou s podáním žádosti o přednost ke generálnímu řediteli</w:t>
      </w:r>
      <w:r w:rsidR="00A50206" w:rsidRPr="00CC4211">
        <w:t xml:space="preserve">, a to s požadovanou podporou v případě regionální žádosti. </w:t>
      </w:r>
    </w:p>
    <w:p w:rsidR="00A50206" w:rsidRPr="00CC4211" w:rsidRDefault="00A50206" w:rsidP="00B90C1A">
      <w:pPr>
        <w:jc w:val="both"/>
      </w:pPr>
    </w:p>
    <w:p w:rsidR="004D0673" w:rsidRDefault="00A50206" w:rsidP="004D0673">
      <w:pPr>
        <w:ind w:left="426" w:hanging="426"/>
        <w:jc w:val="both"/>
      </w:pPr>
      <w:r w:rsidRPr="00CC4211">
        <w:t>11.</w:t>
      </w:r>
      <w:r w:rsidR="004D0673">
        <w:t xml:space="preserve"> </w:t>
      </w:r>
      <w:r w:rsidRPr="00CC4211">
        <w:t xml:space="preserve">UNESCO se připojí k oslavám navrhovaných výročí pouze v případě, kdy žadatel při podání písemné žádosti generálnímu řediteli </w:t>
      </w:r>
      <w:r w:rsidRPr="00CC4211">
        <w:rPr>
          <w:b/>
        </w:rPr>
        <w:t>přijme následující podmínky</w:t>
      </w:r>
      <w:r w:rsidRPr="00CC4211">
        <w:t xml:space="preserve">: </w:t>
      </w:r>
    </w:p>
    <w:p w:rsidR="00A50206" w:rsidRPr="00CC4211" w:rsidRDefault="00A50206" w:rsidP="004D0673">
      <w:pPr>
        <w:ind w:left="426"/>
        <w:jc w:val="both"/>
      </w:pPr>
      <w:r w:rsidRPr="00CC4211">
        <w:t xml:space="preserve">Žadatel je povinen: </w:t>
      </w:r>
    </w:p>
    <w:p w:rsidR="00A50206" w:rsidRDefault="00A50206" w:rsidP="004D0673">
      <w:pPr>
        <w:ind w:left="567" w:hanging="283"/>
        <w:jc w:val="both"/>
      </w:pPr>
      <w:r w:rsidRPr="00CC4211">
        <w:t>a) podat žádost co nejdříve a nejpozději ke stanovenému termínu. Ani Výkonná rada, ani Generální konference nebudou brát v úvahu žádosti podané po termínu; řídící orgány tedy nebudou rozhodovat o žádostech, které nebyly předem posouzeny Sekretariátem v souladu se zavedeným procesem;</w:t>
      </w:r>
    </w:p>
    <w:p w:rsidR="004D0673" w:rsidRPr="00CC4211" w:rsidRDefault="004D0673" w:rsidP="004D0673">
      <w:pPr>
        <w:ind w:left="567" w:hanging="283"/>
        <w:jc w:val="both"/>
      </w:pPr>
    </w:p>
    <w:p w:rsidR="00A50206" w:rsidRDefault="00A50206" w:rsidP="004D0673">
      <w:pPr>
        <w:ind w:left="567" w:hanging="283"/>
        <w:jc w:val="both"/>
      </w:pPr>
      <w:r w:rsidRPr="00CC4211">
        <w:lastRenderedPageBreak/>
        <w:t>b) nést plnou finanční a správní odpovědnost za organizování akcí k oslavě výročí;</w:t>
      </w:r>
    </w:p>
    <w:p w:rsidR="004D0673" w:rsidRPr="00CC4211" w:rsidRDefault="004D0673" w:rsidP="004D0673">
      <w:pPr>
        <w:ind w:left="567" w:hanging="283"/>
        <w:jc w:val="both"/>
      </w:pPr>
    </w:p>
    <w:p w:rsidR="00F87DAB" w:rsidRPr="00CC4211" w:rsidRDefault="00A50206" w:rsidP="004D0673">
      <w:pPr>
        <w:ind w:left="567" w:hanging="283"/>
        <w:jc w:val="both"/>
        <w:rPr>
          <w:b/>
        </w:rPr>
      </w:pPr>
      <w:r w:rsidRPr="00CC4211">
        <w:t>c) po ukončení projektu</w:t>
      </w:r>
      <w:r w:rsidRPr="00CC4211">
        <w:rPr>
          <w:b/>
        </w:rPr>
        <w:t xml:space="preserve"> </w:t>
      </w:r>
      <w:r w:rsidRPr="00CC4211">
        <w:t xml:space="preserve">podat </w:t>
      </w:r>
      <w:r w:rsidR="00162E21" w:rsidRPr="00CC4211">
        <w:t xml:space="preserve">generálnímu řediteli podrobnou zprávu o činnosti, jejích výsledcích a jejich </w:t>
      </w:r>
      <w:r w:rsidR="00FD4316" w:rsidRPr="00CC4211">
        <w:t>vy</w:t>
      </w:r>
      <w:r w:rsidR="00162E21" w:rsidRPr="00CC4211">
        <w:t xml:space="preserve">užitelnosti pro členské státy </w:t>
      </w:r>
      <w:r w:rsidR="007F3C9F" w:rsidRPr="00CC4211">
        <w:t>a UNESCO. Zpráva musí být předložena nejpozději před p</w:t>
      </w:r>
      <w:r w:rsidR="00FD4316" w:rsidRPr="00CC4211">
        <w:t>odá</w:t>
      </w:r>
      <w:r w:rsidR="007F3C9F" w:rsidRPr="00CC4211">
        <w:t xml:space="preserve">ním nových žádostí. To znamená, že žádný nový návrh výročí nebude posuzován, dokud členský stát neposkytne všechny povinné zprávy o činnosti. </w:t>
      </w:r>
      <w:r w:rsidR="00162E21" w:rsidRPr="00CC4211">
        <w:t xml:space="preserve"> </w:t>
      </w:r>
    </w:p>
    <w:p w:rsidR="00F87DAB" w:rsidRPr="00CC4211" w:rsidRDefault="00F87DAB" w:rsidP="004D0673">
      <w:pPr>
        <w:ind w:left="567" w:hanging="283"/>
        <w:jc w:val="both"/>
        <w:rPr>
          <w:b/>
        </w:rPr>
      </w:pPr>
    </w:p>
    <w:p w:rsidR="000B3499" w:rsidRPr="00CC4211" w:rsidRDefault="000B3499" w:rsidP="004D0673">
      <w:pPr>
        <w:ind w:hanging="283"/>
      </w:pPr>
    </w:p>
    <w:sectPr w:rsidR="000B3499" w:rsidRPr="00CC4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5AEC"/>
    <w:multiLevelType w:val="hybridMultilevel"/>
    <w:tmpl w:val="076E5DF6"/>
    <w:lvl w:ilvl="0" w:tplc="0405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2E19BA"/>
    <w:multiLevelType w:val="hybridMultilevel"/>
    <w:tmpl w:val="F086EAB6"/>
    <w:lvl w:ilvl="0" w:tplc="AE8A70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3B5CA9"/>
    <w:multiLevelType w:val="hybridMultilevel"/>
    <w:tmpl w:val="240AEF1C"/>
    <w:lvl w:ilvl="0" w:tplc="A2924902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D3C9C9A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5F1029"/>
    <w:multiLevelType w:val="hybridMultilevel"/>
    <w:tmpl w:val="16D675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B5349"/>
    <w:multiLevelType w:val="hybridMultilevel"/>
    <w:tmpl w:val="90DA9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A75A8E"/>
    <w:multiLevelType w:val="hybridMultilevel"/>
    <w:tmpl w:val="52444C32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4475AA">
      <w:start w:val="1"/>
      <w:numFmt w:val="lowerLetter"/>
      <w:lvlText w:val="(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791562"/>
    <w:multiLevelType w:val="hybridMultilevel"/>
    <w:tmpl w:val="17021132"/>
    <w:lvl w:ilvl="0" w:tplc="5CDE17EC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E00142"/>
    <w:multiLevelType w:val="hybridMultilevel"/>
    <w:tmpl w:val="DD7EE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D157B0"/>
    <w:multiLevelType w:val="hybridMultilevel"/>
    <w:tmpl w:val="6A4C763E"/>
    <w:lvl w:ilvl="0" w:tplc="5B2880B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DAB"/>
    <w:rsid w:val="0001647D"/>
    <w:rsid w:val="000231D6"/>
    <w:rsid w:val="000610CC"/>
    <w:rsid w:val="00071DC4"/>
    <w:rsid w:val="000B3499"/>
    <w:rsid w:val="00160816"/>
    <w:rsid w:val="00162E21"/>
    <w:rsid w:val="00180865"/>
    <w:rsid w:val="00181F8C"/>
    <w:rsid w:val="001C5DFE"/>
    <w:rsid w:val="001C62C6"/>
    <w:rsid w:val="001E0514"/>
    <w:rsid w:val="003B4251"/>
    <w:rsid w:val="00424959"/>
    <w:rsid w:val="004458FB"/>
    <w:rsid w:val="004C083A"/>
    <w:rsid w:val="004C12AD"/>
    <w:rsid w:val="004D0673"/>
    <w:rsid w:val="00503288"/>
    <w:rsid w:val="006571A4"/>
    <w:rsid w:val="00657EDC"/>
    <w:rsid w:val="006C6A12"/>
    <w:rsid w:val="007419B8"/>
    <w:rsid w:val="0074339F"/>
    <w:rsid w:val="007F3C9F"/>
    <w:rsid w:val="008D4A02"/>
    <w:rsid w:val="008D7693"/>
    <w:rsid w:val="00944E2A"/>
    <w:rsid w:val="00A50206"/>
    <w:rsid w:val="00B1783F"/>
    <w:rsid w:val="00B90C1A"/>
    <w:rsid w:val="00C12093"/>
    <w:rsid w:val="00CA53D1"/>
    <w:rsid w:val="00CC4211"/>
    <w:rsid w:val="00D346BC"/>
    <w:rsid w:val="00D768C1"/>
    <w:rsid w:val="00E7144D"/>
    <w:rsid w:val="00EE1EE0"/>
    <w:rsid w:val="00F87DAB"/>
    <w:rsid w:val="00FD4316"/>
    <w:rsid w:val="00FF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8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F8C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58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81F8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1F8C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54E36-95CD-4100-8193-897E65D4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Dita Limová</cp:lastModifiedBy>
  <cp:revision>2</cp:revision>
  <dcterms:created xsi:type="dcterms:W3CDTF">2016-06-17T12:58:00Z</dcterms:created>
  <dcterms:modified xsi:type="dcterms:W3CDTF">2016-06-17T12:58:00Z</dcterms:modified>
</cp:coreProperties>
</file>