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7" w:rsidRDefault="00ED0297" w:rsidP="00ED029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Podmínky pro přiznání příspěvku z programu v roce </w:t>
      </w:r>
      <w:r>
        <w:rPr>
          <w:b/>
          <w:bCs/>
          <w:sz w:val="28"/>
          <w:szCs w:val="28"/>
        </w:rPr>
        <w:t>2016</w:t>
      </w:r>
      <w:r>
        <w:rPr>
          <w:b/>
          <w:bCs/>
          <w:sz w:val="28"/>
          <w:szCs w:val="28"/>
        </w:rPr>
        <w:t>: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trvání projektu 1. 1. </w:t>
      </w:r>
      <w:r>
        <w:rPr>
          <w:sz w:val="23"/>
          <w:szCs w:val="23"/>
        </w:rPr>
        <w:t>2016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z w:val="23"/>
          <w:szCs w:val="23"/>
        </w:rPr>
        <w:t xml:space="preserve"> 31. 12. </w:t>
      </w:r>
      <w:r>
        <w:rPr>
          <w:sz w:val="23"/>
          <w:szCs w:val="23"/>
        </w:rPr>
        <w:t>2016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Realizace projektu musí být zahájena a ukončena v roce poskytnutí příspěvku </w:t>
      </w:r>
      <w:r>
        <w:rPr>
          <w:sz w:val="23"/>
          <w:szCs w:val="23"/>
        </w:rPr>
        <w:t>2016</w:t>
      </w:r>
      <w:r>
        <w:rPr>
          <w:sz w:val="23"/>
          <w:szCs w:val="23"/>
        </w:rPr>
        <w:t>.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Příspěvek </w:t>
      </w:r>
      <w:bookmarkStart w:id="0" w:name="_GoBack"/>
      <w:bookmarkEnd w:id="0"/>
      <w:r>
        <w:rPr>
          <w:sz w:val="23"/>
          <w:szCs w:val="23"/>
        </w:rPr>
        <w:t>je poskytován na stavební obnovu a restaurování kulturních památek (zapsaných v</w:t>
      </w:r>
      <w:r>
        <w:rPr>
          <w:sz w:val="23"/>
          <w:szCs w:val="23"/>
        </w:rPr>
        <w:t> </w:t>
      </w:r>
      <w:r>
        <w:rPr>
          <w:sz w:val="23"/>
          <w:szCs w:val="23"/>
        </w:rPr>
        <w:t>Ústředním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seznamu kulturních památek ČR), pro zachování kulturního dědictví pro další gen</w:t>
      </w:r>
      <w:r>
        <w:rPr>
          <w:sz w:val="23"/>
          <w:szCs w:val="23"/>
        </w:rPr>
        <w:t>e</w:t>
      </w:r>
      <w:r>
        <w:rPr>
          <w:sz w:val="23"/>
          <w:szCs w:val="23"/>
        </w:rPr>
        <w:t>race.</w:t>
      </w: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ED0297" w:rsidRPr="00ED0297" w:rsidRDefault="00ED0297" w:rsidP="00ED0297">
      <w:pPr>
        <w:pStyle w:val="Default"/>
        <w:jc w:val="both"/>
        <w:rPr>
          <w:bCs/>
          <w:sz w:val="23"/>
          <w:szCs w:val="23"/>
        </w:rPr>
      </w:pP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modernizace objektů </w:t>
      </w:r>
      <w:r>
        <w:rPr>
          <w:sz w:val="23"/>
          <w:szCs w:val="23"/>
        </w:rPr>
        <w:t>–</w:t>
      </w:r>
      <w:r>
        <w:rPr>
          <w:sz w:val="23"/>
          <w:szCs w:val="23"/>
        </w:rPr>
        <w:t xml:space="preserve"> zateplování, vytápění, elektroinstalace, rozvody vody, splašková kanal</w:t>
      </w:r>
      <w:r>
        <w:rPr>
          <w:sz w:val="23"/>
          <w:szCs w:val="23"/>
        </w:rPr>
        <w:t>i</w:t>
      </w:r>
      <w:r>
        <w:rPr>
          <w:sz w:val="23"/>
          <w:szCs w:val="23"/>
        </w:rPr>
        <w:t>zace, plynofikace, vzduchotechnika, sanitární technika, výplně otvorů z plastu, nebo typu EURO (okna, dveře, výkladce), protipožární okna, dveře a stěny;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nástavby a přístavby objektů, půdní vestavby, provizorní úpravy objektů (např. provizorní ko</w:t>
      </w:r>
      <w:r>
        <w:rPr>
          <w:sz w:val="23"/>
          <w:szCs w:val="23"/>
        </w:rPr>
        <w:t>n</w:t>
      </w:r>
      <w:r>
        <w:rPr>
          <w:sz w:val="23"/>
          <w:szCs w:val="23"/>
        </w:rPr>
        <w:t>strukce krovu);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hromosvody (pokud nejsou součástí obnov střešní krytiny), izolační střešní folie apod.;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protiradonová opatření;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čištění a úklid budov;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pronájem lešení;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stavebně-historické a restaurátorské průzkumy, záměry, zprávy, projektové dokumentace;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náklady na stavební/autorský dozor;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úpravy veřejných prostranství (cesty, ulice, chodníky), terénní </w:t>
      </w:r>
      <w:proofErr w:type="gramStart"/>
      <w:r>
        <w:rPr>
          <w:sz w:val="23"/>
          <w:szCs w:val="23"/>
        </w:rPr>
        <w:t xml:space="preserve">úpravy,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sadové</w:t>
      </w:r>
      <w:proofErr w:type="gramEnd"/>
      <w:r>
        <w:rPr>
          <w:sz w:val="23"/>
          <w:szCs w:val="23"/>
        </w:rPr>
        <w:t xml:space="preserve"> a parkové úpravy zeleně;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ED0297" w:rsidRDefault="00ED0297" w:rsidP="00ED029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6B5EA1" w:rsidRDefault="006B5EA1" w:rsidP="00ED0297"/>
    <w:sectPr w:rsidR="006B5EA1" w:rsidSect="00ED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837"/>
      <w:pgMar w:top="1567" w:right="1416" w:bottom="1417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62" w:rsidRDefault="00B13262" w:rsidP="00B13262">
      <w:r>
        <w:separator/>
      </w:r>
    </w:p>
  </w:endnote>
  <w:endnote w:type="continuationSeparator" w:id="0">
    <w:p w:rsidR="00B13262" w:rsidRDefault="00B13262" w:rsidP="00B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62" w:rsidRDefault="00B13262" w:rsidP="00B13262">
      <w:r>
        <w:separator/>
      </w:r>
    </w:p>
  </w:footnote>
  <w:footnote w:type="continuationSeparator" w:id="0">
    <w:p w:rsidR="00B13262" w:rsidRDefault="00B13262" w:rsidP="00B1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725F"/>
    <w:multiLevelType w:val="hybridMultilevel"/>
    <w:tmpl w:val="CB86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0E7853"/>
    <w:rsid w:val="004C2A75"/>
    <w:rsid w:val="0059153A"/>
    <w:rsid w:val="006B5EA1"/>
    <w:rsid w:val="00700253"/>
    <w:rsid w:val="00B13262"/>
    <w:rsid w:val="00E6781A"/>
    <w:rsid w:val="00ED0297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2016-02-18T10:44:00Z</dcterms:created>
  <dcterms:modified xsi:type="dcterms:W3CDTF">2016-02-18T10:45:00Z</dcterms:modified>
</cp:coreProperties>
</file>