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EB" w:rsidRPr="00FC646D" w:rsidRDefault="004445EB" w:rsidP="004445EB">
      <w:pPr>
        <w:shd w:val="clear" w:color="auto" w:fill="FFFFC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46D">
        <w:rPr>
          <w:rFonts w:ascii="Times New Roman" w:hAnsi="Times New Roman" w:cs="Times New Roman"/>
          <w:b/>
          <w:sz w:val="24"/>
          <w:szCs w:val="24"/>
          <w:u w:val="single"/>
        </w:rPr>
        <w:t>Pokyny k vyplnění formuláře žádosti:</w:t>
      </w:r>
    </w:p>
    <w:p w:rsidR="004445EB" w:rsidRPr="00E15E37" w:rsidRDefault="004445EB" w:rsidP="004445EB">
      <w:pPr>
        <w:shd w:val="clear" w:color="auto" w:fill="FFFFC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E37">
        <w:rPr>
          <w:rFonts w:ascii="Times New Roman" w:hAnsi="Times New Roman" w:cs="Times New Roman"/>
          <w:b/>
          <w:sz w:val="24"/>
          <w:szCs w:val="24"/>
          <w:u w:val="single"/>
        </w:rPr>
        <w:t>Žádost může být projednána pouze v případě, je-li vyplněna ve všech předepsaných bodech a odevzdána kompletní, včetně všech povinných příloh!</w:t>
      </w:r>
      <w:r w:rsidR="00E15E37" w:rsidRPr="00E15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Jakýkoli nedostatek, nevyplněný </w:t>
      </w:r>
      <w:r w:rsidR="00FA16A0">
        <w:rPr>
          <w:rFonts w:ascii="Times New Roman" w:hAnsi="Times New Roman" w:cs="Times New Roman"/>
          <w:b/>
          <w:sz w:val="24"/>
          <w:szCs w:val="24"/>
          <w:u w:val="single"/>
        </w:rPr>
        <w:t xml:space="preserve">nebo chybně vyplněný </w:t>
      </w:r>
      <w:bookmarkStart w:id="0" w:name="_GoBack"/>
      <w:bookmarkEnd w:id="0"/>
      <w:r w:rsidR="00E15E37" w:rsidRPr="00E15E37">
        <w:rPr>
          <w:rFonts w:ascii="Times New Roman" w:hAnsi="Times New Roman" w:cs="Times New Roman"/>
          <w:b/>
          <w:sz w:val="24"/>
          <w:szCs w:val="24"/>
          <w:u w:val="single"/>
        </w:rPr>
        <w:t>řádek apod. bude důvodem pro vyřazení žádosti z výběrového řízení pro formální nedostatky. Věnujte proto vyplnění žádosti zvýšenou pozornost!!!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 w:rsidRPr="007F2F9E">
        <w:rPr>
          <w:rFonts w:ascii="Times New Roman" w:hAnsi="Times New Roman" w:cs="Times New Roman"/>
          <w:sz w:val="24"/>
          <w:szCs w:val="24"/>
        </w:rPr>
        <w:t xml:space="preserve">Pečlivě vyplňte </w:t>
      </w:r>
      <w:r w:rsidRPr="00BC60E3">
        <w:rPr>
          <w:rFonts w:ascii="Times New Roman" w:hAnsi="Times New Roman" w:cs="Times New Roman"/>
          <w:sz w:val="24"/>
          <w:szCs w:val="24"/>
          <w:u w:val="single"/>
        </w:rPr>
        <w:t>všechny kolonky</w:t>
      </w:r>
      <w:r w:rsidRPr="007F2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 w:rsidRPr="006F530F">
        <w:rPr>
          <w:rFonts w:ascii="Times New Roman" w:hAnsi="Times New Roman" w:cs="Times New Roman"/>
          <w:sz w:val="24"/>
          <w:szCs w:val="24"/>
        </w:rPr>
        <w:t xml:space="preserve">Buňky jsou upraveny tak, že text do nich vepisovaný se automaticky zalamuje. Při psaní delších textů je nutné pro zobrazení celého textu výšku řádku upravit </w:t>
      </w:r>
      <w:r>
        <w:rPr>
          <w:rFonts w:ascii="Times New Roman" w:hAnsi="Times New Roman" w:cs="Times New Roman"/>
          <w:sz w:val="24"/>
          <w:szCs w:val="24"/>
        </w:rPr>
        <w:t>manuálně (</w:t>
      </w:r>
      <w:r w:rsidRPr="006F530F">
        <w:rPr>
          <w:rFonts w:ascii="Times New Roman" w:hAnsi="Times New Roman" w:cs="Times New Roman"/>
          <w:sz w:val="24"/>
          <w:szCs w:val="24"/>
        </w:rPr>
        <w:t>uchopením spodní linky řádku levým tlačítkem myši a jejím popotažením dolů).</w:t>
      </w:r>
    </w:p>
    <w:p w:rsidR="004445EB" w:rsidRPr="00FA16A0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1B5">
        <w:rPr>
          <w:rFonts w:ascii="Times New Roman" w:hAnsi="Times New Roman" w:cs="Times New Roman"/>
          <w:sz w:val="24"/>
          <w:szCs w:val="24"/>
        </w:rPr>
        <w:t xml:space="preserve">Textové části: </w:t>
      </w:r>
      <w:r w:rsidRPr="00FA16A0">
        <w:rPr>
          <w:rFonts w:ascii="Times New Roman" w:hAnsi="Times New Roman" w:cs="Times New Roman"/>
          <w:sz w:val="24"/>
          <w:szCs w:val="24"/>
          <w:u w:val="single"/>
        </w:rPr>
        <w:t>tam, kde doplňujete text a do některé buňky nebudete vyplňovat žádný údaj, vepište slovně ne, není, apod., v buňkách s číselnými údaji, které nebudete vyplňovat, vepište 0 apod.</w:t>
      </w:r>
    </w:p>
    <w:p w:rsidR="00E15E37" w:rsidRDefault="00E15E37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ř. 19 – „datová schránka“ – uveďte ID datové schránky, v případě, že nemáte DS zřízenu vepište „není“</w:t>
      </w:r>
    </w:p>
    <w:p w:rsidR="00E15E37" w:rsidRDefault="00E15E37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ř. 21 – „datum vzniku“ – myslí se tím datum vzniku organizace (dle příslušného rejstříku)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ř. 32 - Korespondenční adresa žadatele – políčko zaškrtněte pouze v případě, že budete pro korespondenci uvádět jinou adresu než je sídlo žadatele. Upozorňujeme, že se žadateli, kteří mají datovou schránku, </w:t>
      </w:r>
      <w:r w:rsidR="006C640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MK </w:t>
      </w:r>
      <w:r w:rsidR="006C6407">
        <w:rPr>
          <w:rFonts w:ascii="Times New Roman" w:hAnsi="Times New Roman" w:cs="Times New Roman"/>
          <w:sz w:val="24"/>
          <w:szCs w:val="24"/>
        </w:rPr>
        <w:t xml:space="preserve">povinno </w:t>
      </w:r>
      <w:r>
        <w:rPr>
          <w:rFonts w:ascii="Times New Roman" w:hAnsi="Times New Roman" w:cs="Times New Roman"/>
          <w:sz w:val="24"/>
          <w:szCs w:val="24"/>
        </w:rPr>
        <w:t>komunikovat pouze jejím prostřednictvím, proto uvádění další korespondenční adresy je bezpředmětné.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ř. 37 – Další vlastníci objektu - Nezaškrtávejte, pokud tuto část nebudete vyplňovat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ř. 80 – Vyplňte celkové náklady projektu, údaj je stejný jako ř. 32</w:t>
      </w:r>
      <w:r w:rsidR="006C64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levý sloupec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ř. 81 – Vyplňujte </w:t>
      </w:r>
      <w:r w:rsidR="006C6407">
        <w:rPr>
          <w:rFonts w:ascii="Times New Roman" w:hAnsi="Times New Roman" w:cs="Times New Roman"/>
          <w:sz w:val="24"/>
          <w:szCs w:val="24"/>
        </w:rPr>
        <w:t xml:space="preserve">všechny předpokládané </w:t>
      </w:r>
      <w:r>
        <w:rPr>
          <w:rFonts w:ascii="Times New Roman" w:hAnsi="Times New Roman" w:cs="Times New Roman"/>
          <w:sz w:val="24"/>
          <w:szCs w:val="24"/>
        </w:rPr>
        <w:t>příjmy</w:t>
      </w:r>
      <w:r w:rsidR="006C6407">
        <w:rPr>
          <w:rFonts w:ascii="Times New Roman" w:hAnsi="Times New Roman" w:cs="Times New Roman"/>
          <w:sz w:val="24"/>
          <w:szCs w:val="24"/>
        </w:rPr>
        <w:t xml:space="preserve"> (včetně vlastního vkladu žadatele)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6407">
        <w:rPr>
          <w:rFonts w:ascii="Times New Roman" w:hAnsi="Times New Roman" w:cs="Times New Roman"/>
          <w:sz w:val="24"/>
          <w:szCs w:val="24"/>
        </w:rPr>
        <w:t>avšak bez dotace požadované po MK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ř. 82 – </w:t>
      </w:r>
      <w:r w:rsidR="006C640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Požadovaná </w:t>
      </w:r>
      <w:r w:rsidR="006C6407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>dotace</w:t>
      </w:r>
      <w:r w:rsidR="006C640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údaj shodný s řádkem 32</w:t>
      </w:r>
      <w:r w:rsidR="006C64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pravý sloupec</w:t>
      </w:r>
      <w:r w:rsidR="006C64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07" w:rsidRDefault="006C6407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ř. 80 – 82 - </w:t>
      </w:r>
      <w:r>
        <w:rPr>
          <w:rFonts w:ascii="Times New Roman" w:hAnsi="Times New Roman" w:cs="Times New Roman"/>
          <w:sz w:val="24"/>
          <w:szCs w:val="24"/>
        </w:rPr>
        <w:t>Požadovaná dotace + Příjmy z projektu = Celkové náklady projektu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ř. 3</w:t>
      </w:r>
      <w:r w:rsidR="006C640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-36</w:t>
      </w:r>
      <w:r w:rsidR="006C64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Podrobné zdůvodnění požadovaných položek – uveďte odůvodnění pouze pro položky, na které budete požadovat dotaci!</w:t>
      </w:r>
      <w:r w:rsidR="002A3BBD">
        <w:rPr>
          <w:rFonts w:ascii="Times New Roman" w:hAnsi="Times New Roman" w:cs="Times New Roman"/>
          <w:sz w:val="24"/>
          <w:szCs w:val="24"/>
        </w:rPr>
        <w:t xml:space="preserve"> Zdůvodnění uvádějte konkrétně, ne pouze popisně, např. pro DPP a DPČ uveďte počet osob, kolik hodin a Kč/hod. U</w:t>
      </w:r>
      <w:r w:rsidR="00FA16A0">
        <w:t> </w:t>
      </w:r>
      <w:r w:rsidR="002A3BBD">
        <w:rPr>
          <w:rFonts w:ascii="Times New Roman" w:hAnsi="Times New Roman" w:cs="Times New Roman"/>
          <w:sz w:val="24"/>
          <w:szCs w:val="24"/>
        </w:rPr>
        <w:t>materiálu a vybavení uveďte např. počet a pro jakou činnost (ne pouze např. „jsou nutné pro realizaci projektu“), tisk sborníku např. kolik výtisků a Kč/výtisk apod.</w:t>
      </w:r>
    </w:p>
    <w:p w:rsidR="002A3BBD" w:rsidRDefault="002A3BBD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ř. 365 údaj musí být shodný s ř. 82 a </w:t>
      </w:r>
      <w:r>
        <w:rPr>
          <w:rFonts w:ascii="Times New Roman" w:hAnsi="Times New Roman" w:cs="Times New Roman"/>
          <w:sz w:val="24"/>
          <w:szCs w:val="24"/>
        </w:rPr>
        <w:t>řádkem 327, pravý sloupec</w:t>
      </w:r>
    </w:p>
    <w:p w:rsidR="004445EB" w:rsidRDefault="004445EB" w:rsidP="004445EB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 w:rsidRPr="00D05234">
        <w:rPr>
          <w:rFonts w:ascii="Times New Roman" w:hAnsi="Times New Roman" w:cs="Times New Roman"/>
          <w:sz w:val="24"/>
          <w:szCs w:val="24"/>
        </w:rPr>
        <w:t>Pozornost věnujte Seznamu povinných příloh! V ř. 4</w:t>
      </w:r>
      <w:r w:rsidR="002A3BBD">
        <w:rPr>
          <w:rFonts w:ascii="Times New Roman" w:hAnsi="Times New Roman" w:cs="Times New Roman"/>
          <w:sz w:val="24"/>
          <w:szCs w:val="24"/>
        </w:rPr>
        <w:t>85</w:t>
      </w:r>
      <w:r w:rsidRPr="00D052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51</w:t>
      </w:r>
      <w:r w:rsidR="002A3BBD">
        <w:rPr>
          <w:rFonts w:ascii="Times New Roman" w:hAnsi="Times New Roman" w:cs="Times New Roman"/>
          <w:sz w:val="24"/>
          <w:szCs w:val="24"/>
        </w:rPr>
        <w:t>6</w:t>
      </w:r>
      <w:r w:rsidRPr="00D05234">
        <w:rPr>
          <w:rFonts w:ascii="Times New Roman" w:hAnsi="Times New Roman" w:cs="Times New Roman"/>
          <w:sz w:val="24"/>
          <w:szCs w:val="24"/>
        </w:rPr>
        <w:t xml:space="preserve"> je uvedeno, zda jsou požadovány pouze písemně nebo písemně i elektronicky.</w:t>
      </w:r>
      <w:r w:rsidR="002A3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280" w:rsidRPr="002A3BBD" w:rsidRDefault="00FE5280" w:rsidP="002A3BBD">
      <w:pPr>
        <w:pStyle w:val="Odstavecseseznamem"/>
        <w:numPr>
          <w:ilvl w:val="0"/>
          <w:numId w:val="1"/>
        </w:numPr>
        <w:shd w:val="clear" w:color="auto" w:fill="FFFFC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A3BBD">
        <w:rPr>
          <w:rFonts w:ascii="Times New Roman" w:hAnsi="Times New Roman" w:cs="Times New Roman"/>
          <w:color w:val="FF0000"/>
          <w:sz w:val="24"/>
          <w:szCs w:val="24"/>
        </w:rPr>
        <w:t>!!!Upozornění</w:t>
      </w:r>
      <w:proofErr w:type="gramEnd"/>
      <w:r w:rsidRPr="002A3BB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2A3BBD" w:rsidRPr="002A3BBD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A3BBD">
        <w:rPr>
          <w:rFonts w:ascii="Times New Roman" w:hAnsi="Times New Roman" w:cs="Times New Roman"/>
          <w:color w:val="FF0000"/>
          <w:sz w:val="24"/>
          <w:szCs w:val="24"/>
        </w:rPr>
        <w:t xml:space="preserve">ově je požadována povinná příloha </w:t>
      </w:r>
      <w:r w:rsidRPr="002A3BBD">
        <w:rPr>
          <w:rFonts w:ascii="Times New Roman" w:hAnsi="Times New Roman" w:cs="Times New Roman"/>
          <w:b/>
          <w:color w:val="FF0000"/>
          <w:sz w:val="24"/>
          <w:szCs w:val="24"/>
        </w:rPr>
        <w:t>č. 7 - údaje o skutečném majiteli právnické osoby podle zákona č. 37/2021 Sb.</w:t>
      </w:r>
      <w:r w:rsidRPr="002A3BBD">
        <w:rPr>
          <w:rFonts w:ascii="Times New Roman" w:hAnsi="Times New Roman" w:cs="Times New Roman"/>
          <w:color w:val="FF0000"/>
          <w:sz w:val="24"/>
          <w:szCs w:val="24"/>
        </w:rPr>
        <w:t>, o evidenci skutečných majitelů, a to ve formě úplného výpisu platných údajů a údajů, které byly vymazány bez náhrady nebo s nahrazením novými údaji; tuto povinnost nemají osoby vyjmenované v § 7 uvedeného zákona</w:t>
      </w:r>
      <w:r w:rsidR="00FA16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5280" w:rsidRDefault="00FE5280" w:rsidP="002A3BBD">
      <w:pPr>
        <w:pStyle w:val="Odstavecseseznamem"/>
        <w:shd w:val="clear" w:color="auto" w:fill="FFFFC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BBD">
        <w:rPr>
          <w:rFonts w:ascii="Times New Roman" w:hAnsi="Times New Roman" w:cs="Times New Roman"/>
          <w:color w:val="FF0000"/>
          <w:sz w:val="24"/>
          <w:szCs w:val="24"/>
        </w:rPr>
        <w:t>Tato příloha se podává jak v listinné podobě, tak i elektronicky.</w:t>
      </w:r>
    </w:p>
    <w:p w:rsidR="00FA16A0" w:rsidRDefault="00FA16A0" w:rsidP="002A3BBD">
      <w:pPr>
        <w:pStyle w:val="Odstavecseseznamem"/>
        <w:shd w:val="clear" w:color="auto" w:fill="FFFFC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E27" w:rsidRDefault="00FA16A0" w:rsidP="00FA16A0">
      <w:pPr>
        <w:pStyle w:val="Odstavecseseznamem"/>
        <w:shd w:val="clear" w:color="auto" w:fill="FFFFCC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Žádost je možné před jejím podáním zkonzultovat. Konzultace k předkládaným žádostem budou poskytovány v období od zveřejnění výzvy, nejpozději však do 9. září 2022. Ohledně konzultací k žádostem se obracejte na Mgr. Ivu Matějkovou, tel. 257 085 409 nebo 702 091 678.</w:t>
      </w:r>
    </w:p>
    <w:sectPr w:rsidR="00901E27" w:rsidSect="00B0546D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39B"/>
    <w:multiLevelType w:val="hybridMultilevel"/>
    <w:tmpl w:val="D17AE99C"/>
    <w:lvl w:ilvl="0" w:tplc="8CB8F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EB"/>
    <w:rsid w:val="002A3BBD"/>
    <w:rsid w:val="004445EB"/>
    <w:rsid w:val="004916E0"/>
    <w:rsid w:val="006924F0"/>
    <w:rsid w:val="006C6407"/>
    <w:rsid w:val="00901E27"/>
    <w:rsid w:val="00E15E37"/>
    <w:rsid w:val="00FA16A0"/>
    <w:rsid w:val="00FA45E4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5E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5E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4</cp:revision>
  <dcterms:created xsi:type="dcterms:W3CDTF">2022-06-17T11:42:00Z</dcterms:created>
  <dcterms:modified xsi:type="dcterms:W3CDTF">2022-07-19T07:25:00Z</dcterms:modified>
</cp:coreProperties>
</file>