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476AE" w14:textId="77777777" w:rsidR="00957DB2" w:rsidRDefault="006B5A30" w:rsidP="00957DB2">
      <w:pPr>
        <w:jc w:val="left"/>
        <w:rPr>
          <w:rFonts w:ascii="Times New Roman" w:hAnsi="Times New Roman"/>
          <w:noProof/>
          <w:sz w:val="28"/>
          <w:szCs w:val="28"/>
        </w:rPr>
      </w:pPr>
      <w:bookmarkStart w:id="0" w:name="_GoBack"/>
      <w:bookmarkEnd w:id="0"/>
      <w:r>
        <w:rPr>
          <w:noProof/>
        </w:rPr>
        <w:drawing>
          <wp:inline distT="0" distB="0" distL="0" distR="0" wp14:anchorId="51347FB5" wp14:editId="51347FB6">
            <wp:extent cx="2984500" cy="914400"/>
            <wp:effectExtent l="0" t="0" r="63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4500" cy="914400"/>
                    </a:xfrm>
                    <a:prstGeom prst="rect">
                      <a:avLst/>
                    </a:prstGeom>
                    <a:noFill/>
                    <a:ln>
                      <a:noFill/>
                    </a:ln>
                  </pic:spPr>
                </pic:pic>
              </a:graphicData>
            </a:graphic>
          </wp:inline>
        </w:drawing>
      </w:r>
    </w:p>
    <w:p w14:paraId="513476AF" w14:textId="77777777" w:rsidR="006B5A30" w:rsidRPr="006B5A30" w:rsidRDefault="006B5A30" w:rsidP="00957DB2">
      <w:pPr>
        <w:jc w:val="right"/>
        <w:rPr>
          <w:rFonts w:ascii="Times New Roman" w:hAnsi="Times New Roman"/>
          <w:sz w:val="28"/>
          <w:szCs w:val="28"/>
        </w:rPr>
      </w:pPr>
      <w:r w:rsidRPr="006B5A30">
        <w:rPr>
          <w:rFonts w:ascii="Times New Roman" w:hAnsi="Times New Roman"/>
          <w:noProof/>
          <w:sz w:val="28"/>
          <w:szCs w:val="28"/>
        </w:rPr>
        <w:t>MK</w:t>
      </w:r>
      <w:r w:rsidR="00957DB2">
        <w:rPr>
          <w:rFonts w:ascii="Times New Roman" w:hAnsi="Times New Roman"/>
          <w:noProof/>
          <w:sz w:val="28"/>
          <w:szCs w:val="28"/>
        </w:rPr>
        <w:t xml:space="preserve"> </w:t>
      </w:r>
      <w:r w:rsidR="0062446B">
        <w:rPr>
          <w:rFonts w:ascii="Times New Roman" w:hAnsi="Times New Roman"/>
          <w:noProof/>
          <w:sz w:val="28"/>
          <w:szCs w:val="28"/>
        </w:rPr>
        <w:t>14921</w:t>
      </w:r>
      <w:r w:rsidR="00957DB2">
        <w:rPr>
          <w:rFonts w:ascii="Times New Roman" w:hAnsi="Times New Roman"/>
          <w:noProof/>
          <w:sz w:val="28"/>
          <w:szCs w:val="28"/>
        </w:rPr>
        <w:t>/201</w:t>
      </w:r>
      <w:r w:rsidR="0062446B">
        <w:rPr>
          <w:rFonts w:ascii="Times New Roman" w:hAnsi="Times New Roman"/>
          <w:noProof/>
          <w:sz w:val="28"/>
          <w:szCs w:val="28"/>
        </w:rPr>
        <w:t>6</w:t>
      </w:r>
      <w:r w:rsidR="00957DB2">
        <w:rPr>
          <w:rFonts w:ascii="Times New Roman" w:hAnsi="Times New Roman"/>
          <w:noProof/>
          <w:sz w:val="28"/>
          <w:szCs w:val="28"/>
        </w:rPr>
        <w:t xml:space="preserve"> </w:t>
      </w:r>
      <w:r w:rsidRPr="006B5A30">
        <w:rPr>
          <w:rFonts w:ascii="Times New Roman" w:hAnsi="Times New Roman"/>
          <w:noProof/>
          <w:sz w:val="28"/>
          <w:szCs w:val="28"/>
        </w:rPr>
        <w:t>OE</w:t>
      </w:r>
    </w:p>
    <w:p w14:paraId="513476B0" w14:textId="77777777" w:rsidR="006B5A30" w:rsidRPr="006B5A30" w:rsidRDefault="006B5A30" w:rsidP="006B5A30">
      <w:pPr>
        <w:rPr>
          <w:rFonts w:ascii="Times New Roman" w:hAnsi="Times New Roman"/>
        </w:rPr>
      </w:pPr>
    </w:p>
    <w:p w14:paraId="513476B1" w14:textId="77777777" w:rsidR="006B5A30" w:rsidRPr="006B5A30" w:rsidRDefault="006B5A30" w:rsidP="006B5A30">
      <w:pPr>
        <w:rPr>
          <w:rFonts w:ascii="Times New Roman" w:hAnsi="Times New Roman"/>
        </w:rPr>
      </w:pPr>
    </w:p>
    <w:p w14:paraId="513476B2" w14:textId="77777777" w:rsidR="006B5A30" w:rsidRPr="006B5A30" w:rsidRDefault="006B5A30" w:rsidP="006B5A30">
      <w:pPr>
        <w:rPr>
          <w:rFonts w:ascii="Times New Roman" w:hAnsi="Times New Roman"/>
        </w:rPr>
      </w:pPr>
    </w:p>
    <w:p w14:paraId="513476B3" w14:textId="77777777" w:rsidR="006B5A30" w:rsidRPr="006B5A30" w:rsidRDefault="006B5A30" w:rsidP="006B5A30">
      <w:pPr>
        <w:rPr>
          <w:rFonts w:ascii="Times New Roman" w:hAnsi="Times New Roman"/>
        </w:rPr>
      </w:pPr>
    </w:p>
    <w:p w14:paraId="513476B4" w14:textId="77777777" w:rsidR="006B5A30" w:rsidRDefault="006B5A30" w:rsidP="006B5A30">
      <w:pPr>
        <w:rPr>
          <w:rFonts w:ascii="Times New Roman" w:hAnsi="Times New Roman"/>
        </w:rPr>
      </w:pPr>
    </w:p>
    <w:p w14:paraId="513476B5" w14:textId="77777777" w:rsidR="00072D1B" w:rsidRDefault="00072D1B" w:rsidP="006B5A30">
      <w:pPr>
        <w:rPr>
          <w:rFonts w:ascii="Times New Roman" w:hAnsi="Times New Roman"/>
        </w:rPr>
      </w:pPr>
    </w:p>
    <w:p w14:paraId="513476B6" w14:textId="77777777" w:rsidR="00072D1B" w:rsidRDefault="00072D1B" w:rsidP="006B5A30">
      <w:pPr>
        <w:rPr>
          <w:rFonts w:ascii="Times New Roman" w:hAnsi="Times New Roman"/>
        </w:rPr>
      </w:pPr>
    </w:p>
    <w:p w14:paraId="513476B7" w14:textId="77777777" w:rsidR="00072D1B" w:rsidRPr="006B5A30" w:rsidRDefault="00072D1B" w:rsidP="006B5A30">
      <w:pPr>
        <w:rPr>
          <w:rFonts w:ascii="Times New Roman" w:hAnsi="Times New Roman"/>
        </w:rPr>
      </w:pPr>
    </w:p>
    <w:p w14:paraId="513476B8" w14:textId="77777777" w:rsidR="006B5A30" w:rsidRPr="006B5A30" w:rsidRDefault="006B5A30" w:rsidP="006B5A30">
      <w:pPr>
        <w:rPr>
          <w:rFonts w:ascii="Times New Roman" w:hAnsi="Times New Roman"/>
        </w:rPr>
      </w:pPr>
    </w:p>
    <w:p w14:paraId="513476B9" w14:textId="77777777" w:rsidR="00220390" w:rsidRDefault="00220390" w:rsidP="00255BAE">
      <w:pPr>
        <w:pStyle w:val="Nzev"/>
        <w:pBdr>
          <w:bottom w:val="none" w:sz="0" w:space="0" w:color="auto"/>
        </w:pBdr>
        <w:jc w:val="center"/>
        <w:rPr>
          <w:rFonts w:ascii="Times New Roman" w:hAnsi="Times New Roman" w:cs="Times New Roman"/>
          <w:b/>
          <w:sz w:val="36"/>
          <w:szCs w:val="36"/>
        </w:rPr>
      </w:pPr>
    </w:p>
    <w:p w14:paraId="513476BA" w14:textId="77777777" w:rsidR="00220390" w:rsidRPr="005730B7" w:rsidRDefault="00220390" w:rsidP="00255BAE">
      <w:pPr>
        <w:pStyle w:val="Nzev"/>
        <w:pBdr>
          <w:bottom w:val="none" w:sz="0" w:space="0" w:color="auto"/>
        </w:pBdr>
        <w:jc w:val="center"/>
        <w:rPr>
          <w:rFonts w:ascii="Times New Roman" w:hAnsi="Times New Roman" w:cs="Times New Roman"/>
          <w:b/>
          <w:color w:val="auto"/>
          <w:sz w:val="36"/>
          <w:szCs w:val="36"/>
        </w:rPr>
      </w:pPr>
    </w:p>
    <w:p w14:paraId="513476BB" w14:textId="77777777" w:rsidR="006B5A30" w:rsidRPr="005730B7" w:rsidRDefault="0062446B" w:rsidP="00255BAE">
      <w:pPr>
        <w:pStyle w:val="Nzev"/>
        <w:pBdr>
          <w:bottom w:val="none" w:sz="0" w:space="0" w:color="auto"/>
        </w:pBdr>
        <w:jc w:val="center"/>
        <w:rPr>
          <w:rFonts w:ascii="Times New Roman" w:hAnsi="Times New Roman" w:cs="Times New Roman"/>
          <w:b/>
          <w:color w:val="auto"/>
          <w:sz w:val="36"/>
          <w:szCs w:val="36"/>
        </w:rPr>
      </w:pPr>
      <w:r>
        <w:rPr>
          <w:rFonts w:ascii="Times New Roman" w:hAnsi="Times New Roman" w:cs="Times New Roman"/>
          <w:b/>
          <w:color w:val="auto"/>
          <w:sz w:val="36"/>
          <w:szCs w:val="36"/>
        </w:rPr>
        <w:t>SCHVÁLENÝ R</w:t>
      </w:r>
      <w:r w:rsidR="006B5A30" w:rsidRPr="005730B7">
        <w:rPr>
          <w:rFonts w:ascii="Times New Roman" w:hAnsi="Times New Roman" w:cs="Times New Roman"/>
          <w:b/>
          <w:color w:val="auto"/>
          <w:sz w:val="36"/>
          <w:szCs w:val="36"/>
        </w:rPr>
        <w:t>OZPOČ</w:t>
      </w:r>
      <w:r>
        <w:rPr>
          <w:rFonts w:ascii="Times New Roman" w:hAnsi="Times New Roman" w:cs="Times New Roman"/>
          <w:b/>
          <w:color w:val="auto"/>
          <w:sz w:val="36"/>
          <w:szCs w:val="36"/>
        </w:rPr>
        <w:t>E</w:t>
      </w:r>
      <w:r w:rsidR="006B5A30" w:rsidRPr="005730B7">
        <w:rPr>
          <w:rFonts w:ascii="Times New Roman" w:hAnsi="Times New Roman" w:cs="Times New Roman"/>
          <w:b/>
          <w:color w:val="auto"/>
          <w:sz w:val="36"/>
          <w:szCs w:val="36"/>
        </w:rPr>
        <w:t>T NA ROK 2016</w:t>
      </w:r>
    </w:p>
    <w:p w14:paraId="513476BC" w14:textId="77777777" w:rsidR="00072D1B" w:rsidRPr="005730B7" w:rsidRDefault="00072D1B" w:rsidP="00255BAE">
      <w:pPr>
        <w:pStyle w:val="Nzev"/>
        <w:pBdr>
          <w:bottom w:val="none" w:sz="0" w:space="0" w:color="auto"/>
        </w:pBdr>
        <w:jc w:val="center"/>
        <w:rPr>
          <w:rFonts w:ascii="Times New Roman" w:hAnsi="Times New Roman" w:cs="Times New Roman"/>
          <w:b/>
          <w:color w:val="auto"/>
          <w:sz w:val="36"/>
          <w:szCs w:val="36"/>
        </w:rPr>
      </w:pPr>
      <w:r w:rsidRPr="005730B7">
        <w:rPr>
          <w:rFonts w:ascii="Times New Roman" w:hAnsi="Times New Roman" w:cs="Times New Roman"/>
          <w:b/>
          <w:color w:val="auto"/>
          <w:sz w:val="36"/>
          <w:szCs w:val="36"/>
        </w:rPr>
        <w:t>A STŘEDNĚDOB</w:t>
      </w:r>
      <w:r w:rsidR="0062446B">
        <w:rPr>
          <w:rFonts w:ascii="Times New Roman" w:hAnsi="Times New Roman" w:cs="Times New Roman"/>
          <w:b/>
          <w:color w:val="auto"/>
          <w:sz w:val="36"/>
          <w:szCs w:val="36"/>
        </w:rPr>
        <w:t>Ý</w:t>
      </w:r>
      <w:r w:rsidRPr="005730B7">
        <w:rPr>
          <w:rFonts w:ascii="Times New Roman" w:hAnsi="Times New Roman" w:cs="Times New Roman"/>
          <w:b/>
          <w:color w:val="auto"/>
          <w:sz w:val="36"/>
          <w:szCs w:val="36"/>
        </w:rPr>
        <w:t xml:space="preserve"> VÝHLED NA LÉTA 2017, 2018</w:t>
      </w:r>
    </w:p>
    <w:p w14:paraId="513476BD" w14:textId="77777777" w:rsidR="00072D1B" w:rsidRPr="00072D1B" w:rsidRDefault="00072D1B" w:rsidP="00072D1B">
      <w:pPr>
        <w:rPr>
          <w:lang w:eastAsia="en-US"/>
        </w:rPr>
      </w:pPr>
    </w:p>
    <w:p w14:paraId="513476BE" w14:textId="77777777" w:rsidR="006B5A30" w:rsidRPr="006B5A30" w:rsidRDefault="006B5A30" w:rsidP="006B5A30">
      <w:pPr>
        <w:rPr>
          <w:rFonts w:ascii="Times New Roman" w:hAnsi="Times New Roman"/>
        </w:rPr>
      </w:pPr>
    </w:p>
    <w:p w14:paraId="513476BF" w14:textId="77777777" w:rsidR="006B5A30" w:rsidRPr="006B5A30" w:rsidRDefault="006B5A30" w:rsidP="006B5A30">
      <w:pPr>
        <w:rPr>
          <w:rFonts w:ascii="Times New Roman" w:hAnsi="Times New Roman"/>
        </w:rPr>
      </w:pPr>
    </w:p>
    <w:p w14:paraId="513476C0" w14:textId="77777777" w:rsidR="006B5A30" w:rsidRPr="006B5A30" w:rsidRDefault="006B5A30" w:rsidP="006B5A30">
      <w:pPr>
        <w:rPr>
          <w:rFonts w:ascii="Times New Roman" w:hAnsi="Times New Roman"/>
        </w:rPr>
      </w:pPr>
    </w:p>
    <w:p w14:paraId="513476C1" w14:textId="77777777" w:rsidR="006B5A30" w:rsidRPr="00072D1B" w:rsidRDefault="006B5A30" w:rsidP="001D72D6">
      <w:pPr>
        <w:pStyle w:val="okruh"/>
        <w:jc w:val="center"/>
      </w:pPr>
      <w:bookmarkStart w:id="1" w:name="_Toc424037240"/>
      <w:r w:rsidRPr="00072D1B">
        <w:t>KAPITOLA 334 - MINISTERSTVO KULTURY</w:t>
      </w:r>
      <w:bookmarkEnd w:id="1"/>
    </w:p>
    <w:p w14:paraId="513476C2" w14:textId="77777777" w:rsidR="006B5A30" w:rsidRPr="006B5A30" w:rsidRDefault="006B5A30" w:rsidP="006B5A30">
      <w:pPr>
        <w:jc w:val="center"/>
        <w:outlineLvl w:val="0"/>
        <w:rPr>
          <w:rFonts w:ascii="Times New Roman" w:hAnsi="Times New Roman"/>
          <w:b/>
          <w:sz w:val="32"/>
        </w:rPr>
      </w:pPr>
    </w:p>
    <w:p w14:paraId="513476C3" w14:textId="77777777" w:rsidR="006B5A30" w:rsidRPr="006B5A30" w:rsidRDefault="006B5A30" w:rsidP="006B5A30">
      <w:pPr>
        <w:rPr>
          <w:rFonts w:ascii="Times New Roman" w:hAnsi="Times New Roman"/>
        </w:rPr>
      </w:pPr>
    </w:p>
    <w:p w14:paraId="513476C4" w14:textId="77777777" w:rsidR="006B5A30" w:rsidRPr="006B5A30" w:rsidRDefault="006B5A30" w:rsidP="006B5A30">
      <w:pPr>
        <w:jc w:val="left"/>
        <w:rPr>
          <w:rFonts w:ascii="Times New Roman" w:hAnsi="Times New Roman"/>
        </w:rPr>
      </w:pPr>
    </w:p>
    <w:p w14:paraId="513476C5" w14:textId="77777777" w:rsidR="006B5A30" w:rsidRPr="006B5A30" w:rsidRDefault="006B5A30" w:rsidP="006B5A30">
      <w:pPr>
        <w:jc w:val="left"/>
        <w:rPr>
          <w:rFonts w:ascii="Times New Roman" w:hAnsi="Times New Roman"/>
        </w:rPr>
      </w:pPr>
    </w:p>
    <w:p w14:paraId="513476C6" w14:textId="77777777" w:rsidR="006B5A30" w:rsidRPr="006B5A30" w:rsidRDefault="006B5A30" w:rsidP="006B5A30">
      <w:pPr>
        <w:rPr>
          <w:rFonts w:ascii="Times New Roman" w:hAnsi="Times New Roman"/>
        </w:rPr>
      </w:pPr>
    </w:p>
    <w:p w14:paraId="513476C7" w14:textId="77777777" w:rsidR="006B5A30" w:rsidRPr="006B5A30" w:rsidRDefault="006B5A30" w:rsidP="006B5A30">
      <w:pPr>
        <w:rPr>
          <w:rFonts w:ascii="Times New Roman" w:hAnsi="Times New Roman"/>
        </w:rPr>
      </w:pPr>
    </w:p>
    <w:p w14:paraId="513476C8" w14:textId="77777777" w:rsidR="006B5A30" w:rsidRPr="006B5A30" w:rsidRDefault="006B5A30" w:rsidP="006B5A30">
      <w:pPr>
        <w:rPr>
          <w:rFonts w:ascii="Times New Roman" w:hAnsi="Times New Roman"/>
        </w:rPr>
      </w:pPr>
      <w:r w:rsidRPr="006B5A30">
        <w:rPr>
          <w:rFonts w:ascii="Times New Roman" w:hAnsi="Times New Roman"/>
        </w:rPr>
        <w:t>Předkládá:</w:t>
      </w:r>
    </w:p>
    <w:p w14:paraId="513476C9" w14:textId="77777777" w:rsidR="006B5A30" w:rsidRPr="006B5A30" w:rsidRDefault="006B5A30" w:rsidP="006B5A30">
      <w:pPr>
        <w:rPr>
          <w:rFonts w:ascii="Times New Roman" w:hAnsi="Times New Roman"/>
        </w:rPr>
      </w:pPr>
    </w:p>
    <w:p w14:paraId="513476CA" w14:textId="77777777" w:rsidR="006B5A30" w:rsidRPr="006B5A30" w:rsidRDefault="006B5A30" w:rsidP="006B5A30">
      <w:pPr>
        <w:rPr>
          <w:rFonts w:ascii="Times New Roman" w:hAnsi="Times New Roman"/>
        </w:rPr>
      </w:pPr>
    </w:p>
    <w:p w14:paraId="513476CB" w14:textId="77777777" w:rsidR="006B5A30" w:rsidRPr="006B5A30" w:rsidRDefault="00D55972" w:rsidP="009B09B9">
      <w:pPr>
        <w:rPr>
          <w:rFonts w:ascii="Times New Roman" w:hAnsi="Times New Roman"/>
          <w:b/>
          <w:spacing w:val="24"/>
          <w:sz w:val="28"/>
          <w:szCs w:val="28"/>
        </w:rPr>
      </w:pPr>
      <w:r>
        <w:rPr>
          <w:rFonts w:ascii="Times New Roman" w:hAnsi="Times New Roman"/>
          <w:b/>
          <w:spacing w:val="24"/>
          <w:sz w:val="28"/>
          <w:szCs w:val="28"/>
        </w:rPr>
        <w:t>M</w:t>
      </w:r>
      <w:r w:rsidR="006B5A30" w:rsidRPr="006B5A30">
        <w:rPr>
          <w:rFonts w:ascii="Times New Roman" w:hAnsi="Times New Roman"/>
          <w:b/>
          <w:spacing w:val="24"/>
          <w:sz w:val="28"/>
          <w:szCs w:val="28"/>
        </w:rPr>
        <w:t>gr. Daniel Herman</w:t>
      </w:r>
    </w:p>
    <w:p w14:paraId="513476CC" w14:textId="77777777" w:rsidR="006B5A30" w:rsidRPr="006B5A30" w:rsidRDefault="006B5A30" w:rsidP="009B09B9">
      <w:pPr>
        <w:rPr>
          <w:rFonts w:ascii="Times New Roman" w:hAnsi="Times New Roman"/>
          <w:b/>
          <w:spacing w:val="24"/>
          <w:sz w:val="28"/>
          <w:szCs w:val="28"/>
        </w:rPr>
      </w:pPr>
      <w:r w:rsidRPr="006B5A30">
        <w:rPr>
          <w:rFonts w:ascii="Times New Roman" w:hAnsi="Times New Roman"/>
          <w:b/>
          <w:spacing w:val="24"/>
          <w:sz w:val="28"/>
          <w:szCs w:val="28"/>
        </w:rPr>
        <w:t>ministr kultury</w:t>
      </w:r>
    </w:p>
    <w:p w14:paraId="513476CD" w14:textId="77777777" w:rsidR="006B5A30" w:rsidRPr="006B5A30" w:rsidRDefault="006B5A30" w:rsidP="006B5A30">
      <w:pPr>
        <w:rPr>
          <w:rFonts w:ascii="Times New Roman" w:hAnsi="Times New Roman"/>
        </w:rPr>
      </w:pPr>
    </w:p>
    <w:p w14:paraId="513476CE" w14:textId="77777777" w:rsidR="00D55972" w:rsidRDefault="00D55972" w:rsidP="00216834">
      <w:pPr>
        <w:jc w:val="left"/>
        <w:rPr>
          <w:rFonts w:ascii="Times New Roman" w:hAnsi="Times New Roman"/>
        </w:rPr>
      </w:pPr>
    </w:p>
    <w:p w14:paraId="513476CF" w14:textId="77777777" w:rsidR="00B260CA" w:rsidRDefault="006B5A30" w:rsidP="00216834">
      <w:pPr>
        <w:jc w:val="left"/>
        <w:rPr>
          <w:rFonts w:ascii="Times New Roman" w:hAnsi="Times New Roman"/>
        </w:rPr>
      </w:pPr>
      <w:r w:rsidRPr="006B5A30">
        <w:rPr>
          <w:rFonts w:ascii="Times New Roman" w:hAnsi="Times New Roman"/>
        </w:rPr>
        <w:t xml:space="preserve">V Praze dne  </w:t>
      </w:r>
      <w:r w:rsidR="005730B7">
        <w:rPr>
          <w:rFonts w:ascii="Times New Roman" w:hAnsi="Times New Roman"/>
        </w:rPr>
        <w:t xml:space="preserve"> </w:t>
      </w:r>
      <w:r w:rsidR="002668BC">
        <w:rPr>
          <w:rFonts w:ascii="Times New Roman" w:hAnsi="Times New Roman"/>
        </w:rPr>
        <w:t xml:space="preserve">      </w:t>
      </w:r>
      <w:r w:rsidR="0062446B">
        <w:rPr>
          <w:rFonts w:ascii="Times New Roman" w:hAnsi="Times New Roman"/>
        </w:rPr>
        <w:t>března</w:t>
      </w:r>
      <w:r w:rsidR="002668BC">
        <w:rPr>
          <w:rFonts w:ascii="Times New Roman" w:hAnsi="Times New Roman"/>
        </w:rPr>
        <w:t xml:space="preserve"> </w:t>
      </w:r>
      <w:r w:rsidRPr="006B5A30">
        <w:rPr>
          <w:rFonts w:ascii="Times New Roman" w:hAnsi="Times New Roman"/>
        </w:rPr>
        <w:t>201</w:t>
      </w:r>
      <w:r w:rsidR="0062446B">
        <w:rPr>
          <w:rFonts w:ascii="Times New Roman" w:hAnsi="Times New Roman"/>
        </w:rPr>
        <w:t>6</w:t>
      </w:r>
    </w:p>
    <w:p w14:paraId="513476D0" w14:textId="77777777" w:rsidR="00D97C78" w:rsidRDefault="00D97C78">
      <w:pPr>
        <w:spacing w:after="200"/>
        <w:jc w:val="left"/>
        <w:rPr>
          <w:rFonts w:ascii="Times New Roman" w:hAnsi="Times New Roman"/>
        </w:rPr>
      </w:pPr>
      <w:r>
        <w:rPr>
          <w:rFonts w:ascii="Times New Roman" w:hAnsi="Times New Roman"/>
        </w:rPr>
        <w:br w:type="page"/>
      </w:r>
    </w:p>
    <w:p w14:paraId="513476D1" w14:textId="77777777" w:rsidR="00D97C78" w:rsidRDefault="00D97C78" w:rsidP="00216834">
      <w:pPr>
        <w:jc w:val="left"/>
        <w:rPr>
          <w:rFonts w:ascii="Times New Roman" w:hAnsi="Times New Roman"/>
        </w:rPr>
      </w:pPr>
    </w:p>
    <w:p w14:paraId="513476D2" w14:textId="77777777" w:rsidR="00D97C78" w:rsidRDefault="00D97C78" w:rsidP="00216834">
      <w:pPr>
        <w:jc w:val="left"/>
        <w:rPr>
          <w:rFonts w:ascii="Times New Roman" w:hAnsi="Times New Roman"/>
        </w:rPr>
      </w:pPr>
    </w:p>
    <w:p w14:paraId="513476D3" w14:textId="77777777" w:rsidR="00D97C78" w:rsidRDefault="00D97C78" w:rsidP="00216834">
      <w:pPr>
        <w:jc w:val="left"/>
        <w:rPr>
          <w:rFonts w:ascii="Times New Roman" w:hAnsi="Times New Roman"/>
        </w:rPr>
      </w:pPr>
    </w:p>
    <w:p w14:paraId="513476D4" w14:textId="77777777" w:rsidR="00D97C78" w:rsidRDefault="00D97C78" w:rsidP="00216834">
      <w:pPr>
        <w:jc w:val="left"/>
        <w:rPr>
          <w:rFonts w:ascii="Times New Roman" w:hAnsi="Times New Roman"/>
        </w:rPr>
        <w:sectPr w:rsidR="00D97C78" w:rsidSect="00995864">
          <w:footerReference w:type="default" r:id="rId13"/>
          <w:pgSz w:w="11906" w:h="16838"/>
          <w:pgMar w:top="1417" w:right="1417" w:bottom="1985" w:left="1417" w:header="708" w:footer="708" w:gutter="0"/>
          <w:cols w:space="708"/>
          <w:docGrid w:linePitch="360"/>
        </w:sectPr>
      </w:pPr>
    </w:p>
    <w:sdt>
      <w:sdtPr>
        <w:rPr>
          <w:rFonts w:asciiTheme="minorHAnsi" w:eastAsia="Times New Roman" w:hAnsiTheme="minorHAnsi" w:cs="Times New Roman"/>
          <w:b w:val="0"/>
          <w:bCs w:val="0"/>
          <w:color w:val="auto"/>
          <w:sz w:val="24"/>
          <w:szCs w:val="20"/>
          <w:lang w:eastAsia="cs-CZ"/>
        </w:rPr>
        <w:id w:val="13349908"/>
        <w:docPartObj>
          <w:docPartGallery w:val="Table of Contents"/>
          <w:docPartUnique/>
        </w:docPartObj>
      </w:sdtPr>
      <w:sdtEndPr>
        <w:rPr>
          <w:rFonts w:ascii="Times New Roman" w:hAnsi="Times New Roman"/>
          <w:sz w:val="22"/>
          <w:szCs w:val="22"/>
        </w:rPr>
      </w:sdtEndPr>
      <w:sdtContent>
        <w:p w14:paraId="513476D5" w14:textId="77777777" w:rsidR="00606F43" w:rsidRPr="00202815" w:rsidRDefault="004B53E2" w:rsidP="00606F43">
          <w:pPr>
            <w:pStyle w:val="Nadpisobsahu"/>
            <w:spacing w:before="60"/>
            <w:rPr>
              <w:color w:val="auto"/>
            </w:rPr>
          </w:pPr>
          <w:r w:rsidRPr="00202815">
            <w:rPr>
              <w:color w:val="auto"/>
            </w:rPr>
            <w:t>Obsah</w:t>
          </w:r>
        </w:p>
        <w:p w14:paraId="513476D6" w14:textId="77777777" w:rsidR="00606F43" w:rsidRPr="00606F43" w:rsidRDefault="004B53E2" w:rsidP="00606F43">
          <w:pPr>
            <w:pStyle w:val="Obsah1"/>
            <w:spacing w:before="120" w:line="360" w:lineRule="auto"/>
            <w:rPr>
              <w:rFonts w:ascii="Times New Roman" w:eastAsiaTheme="minorEastAsia" w:hAnsi="Times New Roman"/>
              <w:sz w:val="22"/>
              <w:szCs w:val="22"/>
            </w:rPr>
          </w:pPr>
          <w:r w:rsidRPr="00606F43">
            <w:rPr>
              <w:rFonts w:ascii="Times New Roman" w:hAnsi="Times New Roman"/>
              <w:sz w:val="22"/>
              <w:szCs w:val="22"/>
            </w:rPr>
            <w:fldChar w:fldCharType="begin"/>
          </w:r>
          <w:r w:rsidRPr="00606F43">
            <w:rPr>
              <w:rFonts w:ascii="Times New Roman" w:hAnsi="Times New Roman"/>
              <w:sz w:val="22"/>
              <w:szCs w:val="22"/>
            </w:rPr>
            <w:instrText xml:space="preserve"> TOC \o "1-3" \h \z \u </w:instrText>
          </w:r>
          <w:r w:rsidRPr="00606F43">
            <w:rPr>
              <w:rFonts w:ascii="Times New Roman" w:hAnsi="Times New Roman"/>
              <w:sz w:val="22"/>
              <w:szCs w:val="22"/>
            </w:rPr>
            <w:fldChar w:fldCharType="separate"/>
          </w:r>
          <w:hyperlink w:anchor="_Toc431911976" w:history="1">
            <w:r w:rsidR="00606F43" w:rsidRPr="00606F43">
              <w:rPr>
                <w:rStyle w:val="Hypertextovodkaz"/>
                <w:rFonts w:ascii="Times New Roman" w:hAnsi="Times New Roman"/>
                <w:sz w:val="22"/>
                <w:szCs w:val="22"/>
              </w:rPr>
              <w:t>ÚVOD</w:t>
            </w:r>
            <w:r w:rsidR="00606F43" w:rsidRPr="00606F43">
              <w:rPr>
                <w:rFonts w:ascii="Times New Roman" w:hAnsi="Times New Roman"/>
                <w:webHidden/>
                <w:sz w:val="22"/>
                <w:szCs w:val="22"/>
              </w:rPr>
              <w:tab/>
            </w:r>
            <w:r w:rsidR="00606F43" w:rsidRPr="00606F43">
              <w:rPr>
                <w:rFonts w:ascii="Times New Roman" w:hAnsi="Times New Roman"/>
                <w:webHidden/>
                <w:sz w:val="22"/>
                <w:szCs w:val="22"/>
              </w:rPr>
              <w:fldChar w:fldCharType="begin"/>
            </w:r>
            <w:r w:rsidR="00606F43" w:rsidRPr="00606F43">
              <w:rPr>
                <w:rFonts w:ascii="Times New Roman" w:hAnsi="Times New Roman"/>
                <w:webHidden/>
                <w:sz w:val="22"/>
                <w:szCs w:val="22"/>
              </w:rPr>
              <w:instrText xml:space="preserve"> PAGEREF _Toc431911976 \h </w:instrText>
            </w:r>
            <w:r w:rsidR="00606F43" w:rsidRPr="00606F43">
              <w:rPr>
                <w:rFonts w:ascii="Times New Roman" w:hAnsi="Times New Roman"/>
                <w:webHidden/>
                <w:sz w:val="22"/>
                <w:szCs w:val="22"/>
              </w:rPr>
            </w:r>
            <w:r w:rsidR="00606F43" w:rsidRPr="00606F43">
              <w:rPr>
                <w:rFonts w:ascii="Times New Roman" w:hAnsi="Times New Roman"/>
                <w:webHidden/>
                <w:sz w:val="22"/>
                <w:szCs w:val="22"/>
              </w:rPr>
              <w:fldChar w:fldCharType="separate"/>
            </w:r>
            <w:r w:rsidR="001968CD">
              <w:rPr>
                <w:rFonts w:ascii="Times New Roman" w:hAnsi="Times New Roman"/>
                <w:webHidden/>
                <w:sz w:val="22"/>
                <w:szCs w:val="22"/>
              </w:rPr>
              <w:t>4</w:t>
            </w:r>
            <w:r w:rsidR="00606F43" w:rsidRPr="00606F43">
              <w:rPr>
                <w:rFonts w:ascii="Times New Roman" w:hAnsi="Times New Roman"/>
                <w:webHidden/>
                <w:sz w:val="22"/>
                <w:szCs w:val="22"/>
              </w:rPr>
              <w:fldChar w:fldCharType="end"/>
            </w:r>
          </w:hyperlink>
        </w:p>
        <w:p w14:paraId="513476D7" w14:textId="77777777" w:rsidR="00606F43" w:rsidRPr="00606F43" w:rsidRDefault="00E47BE4" w:rsidP="00606F43">
          <w:pPr>
            <w:pStyle w:val="Obsah1"/>
            <w:spacing w:line="360" w:lineRule="auto"/>
            <w:rPr>
              <w:rFonts w:ascii="Times New Roman" w:eastAsiaTheme="minorEastAsia" w:hAnsi="Times New Roman"/>
              <w:sz w:val="22"/>
              <w:szCs w:val="22"/>
            </w:rPr>
          </w:pPr>
          <w:hyperlink w:anchor="_Toc431911977" w:history="1">
            <w:r w:rsidR="00606F43" w:rsidRPr="00606F43">
              <w:rPr>
                <w:rStyle w:val="Hypertextovodkaz"/>
                <w:rFonts w:ascii="Times New Roman" w:hAnsi="Times New Roman"/>
                <w:sz w:val="22"/>
                <w:szCs w:val="22"/>
              </w:rPr>
              <w:t>A. PŘÍJMY</w:t>
            </w:r>
            <w:r w:rsidR="00606F43" w:rsidRPr="00606F43">
              <w:rPr>
                <w:rFonts w:ascii="Times New Roman" w:hAnsi="Times New Roman"/>
                <w:webHidden/>
                <w:sz w:val="22"/>
                <w:szCs w:val="22"/>
              </w:rPr>
              <w:tab/>
            </w:r>
            <w:r w:rsidR="00606F43" w:rsidRPr="00606F43">
              <w:rPr>
                <w:rFonts w:ascii="Times New Roman" w:hAnsi="Times New Roman"/>
                <w:webHidden/>
                <w:sz w:val="22"/>
                <w:szCs w:val="22"/>
              </w:rPr>
              <w:fldChar w:fldCharType="begin"/>
            </w:r>
            <w:r w:rsidR="00606F43" w:rsidRPr="00606F43">
              <w:rPr>
                <w:rFonts w:ascii="Times New Roman" w:hAnsi="Times New Roman"/>
                <w:webHidden/>
                <w:sz w:val="22"/>
                <w:szCs w:val="22"/>
              </w:rPr>
              <w:instrText xml:space="preserve"> PAGEREF _Toc431911977 \h </w:instrText>
            </w:r>
            <w:r w:rsidR="00606F43" w:rsidRPr="00606F43">
              <w:rPr>
                <w:rFonts w:ascii="Times New Roman" w:hAnsi="Times New Roman"/>
                <w:webHidden/>
                <w:sz w:val="22"/>
                <w:szCs w:val="22"/>
              </w:rPr>
            </w:r>
            <w:r w:rsidR="00606F43" w:rsidRPr="00606F43">
              <w:rPr>
                <w:rFonts w:ascii="Times New Roman" w:hAnsi="Times New Roman"/>
                <w:webHidden/>
                <w:sz w:val="22"/>
                <w:szCs w:val="22"/>
              </w:rPr>
              <w:fldChar w:fldCharType="separate"/>
            </w:r>
            <w:r w:rsidR="001968CD">
              <w:rPr>
                <w:rFonts w:ascii="Times New Roman" w:hAnsi="Times New Roman"/>
                <w:webHidden/>
                <w:sz w:val="22"/>
                <w:szCs w:val="22"/>
              </w:rPr>
              <w:t>5</w:t>
            </w:r>
            <w:r w:rsidR="00606F43" w:rsidRPr="00606F43">
              <w:rPr>
                <w:rFonts w:ascii="Times New Roman" w:hAnsi="Times New Roman"/>
                <w:webHidden/>
                <w:sz w:val="22"/>
                <w:szCs w:val="22"/>
              </w:rPr>
              <w:fldChar w:fldCharType="end"/>
            </w:r>
          </w:hyperlink>
        </w:p>
        <w:p w14:paraId="513476D8" w14:textId="77777777" w:rsidR="00606F43" w:rsidRPr="00606F43" w:rsidRDefault="00E47BE4" w:rsidP="00606F43">
          <w:pPr>
            <w:pStyle w:val="Obsah2"/>
            <w:spacing w:line="360" w:lineRule="auto"/>
            <w:rPr>
              <w:rFonts w:eastAsiaTheme="minorEastAsia"/>
              <w:sz w:val="22"/>
              <w:szCs w:val="22"/>
            </w:rPr>
          </w:pPr>
          <w:hyperlink w:anchor="_Toc431911978" w:history="1">
            <w:r w:rsidR="00606F43" w:rsidRPr="00606F43">
              <w:rPr>
                <w:rStyle w:val="Hypertextovodkaz"/>
                <w:sz w:val="22"/>
                <w:szCs w:val="22"/>
              </w:rPr>
              <w:t>A. I. Daňové příjmy</w:t>
            </w:r>
            <w:r w:rsidR="00606F43" w:rsidRPr="00606F43">
              <w:rPr>
                <w:webHidden/>
                <w:sz w:val="22"/>
                <w:szCs w:val="22"/>
              </w:rPr>
              <w:tab/>
            </w:r>
            <w:r w:rsidR="00606F43" w:rsidRPr="00606F43">
              <w:rPr>
                <w:webHidden/>
                <w:sz w:val="22"/>
                <w:szCs w:val="22"/>
              </w:rPr>
              <w:fldChar w:fldCharType="begin"/>
            </w:r>
            <w:r w:rsidR="00606F43" w:rsidRPr="00606F43">
              <w:rPr>
                <w:webHidden/>
                <w:sz w:val="22"/>
                <w:szCs w:val="22"/>
              </w:rPr>
              <w:instrText xml:space="preserve"> PAGEREF _Toc431911978 \h </w:instrText>
            </w:r>
            <w:r w:rsidR="00606F43" w:rsidRPr="00606F43">
              <w:rPr>
                <w:webHidden/>
                <w:sz w:val="22"/>
                <w:szCs w:val="22"/>
              </w:rPr>
            </w:r>
            <w:r w:rsidR="00606F43" w:rsidRPr="00606F43">
              <w:rPr>
                <w:webHidden/>
                <w:sz w:val="22"/>
                <w:szCs w:val="22"/>
              </w:rPr>
              <w:fldChar w:fldCharType="separate"/>
            </w:r>
            <w:r w:rsidR="001968CD">
              <w:rPr>
                <w:webHidden/>
                <w:sz w:val="22"/>
                <w:szCs w:val="22"/>
              </w:rPr>
              <w:t>5</w:t>
            </w:r>
            <w:r w:rsidR="00606F43" w:rsidRPr="00606F43">
              <w:rPr>
                <w:webHidden/>
                <w:sz w:val="22"/>
                <w:szCs w:val="22"/>
              </w:rPr>
              <w:fldChar w:fldCharType="end"/>
            </w:r>
          </w:hyperlink>
        </w:p>
        <w:p w14:paraId="513476D9" w14:textId="77777777" w:rsidR="00606F43" w:rsidRPr="00606F43" w:rsidRDefault="00E47BE4" w:rsidP="00606F43">
          <w:pPr>
            <w:pStyle w:val="Obsah2"/>
            <w:spacing w:line="360" w:lineRule="auto"/>
            <w:rPr>
              <w:rFonts w:eastAsiaTheme="minorEastAsia"/>
              <w:sz w:val="22"/>
              <w:szCs w:val="22"/>
            </w:rPr>
          </w:pPr>
          <w:hyperlink w:anchor="_Toc431911979" w:history="1">
            <w:r w:rsidR="00606F43" w:rsidRPr="00606F43">
              <w:rPr>
                <w:rStyle w:val="Hypertextovodkaz"/>
                <w:sz w:val="22"/>
                <w:szCs w:val="22"/>
              </w:rPr>
              <w:t>A. II. Nedaňové příjmy, kapitálové příjmy a přijaté transfery celkem</w:t>
            </w:r>
            <w:r w:rsidR="00606F43" w:rsidRPr="00606F43">
              <w:rPr>
                <w:webHidden/>
                <w:sz w:val="22"/>
                <w:szCs w:val="22"/>
              </w:rPr>
              <w:tab/>
            </w:r>
            <w:r w:rsidR="00606F43" w:rsidRPr="00606F43">
              <w:rPr>
                <w:webHidden/>
                <w:sz w:val="22"/>
                <w:szCs w:val="22"/>
              </w:rPr>
              <w:fldChar w:fldCharType="begin"/>
            </w:r>
            <w:r w:rsidR="00606F43" w:rsidRPr="00606F43">
              <w:rPr>
                <w:webHidden/>
                <w:sz w:val="22"/>
                <w:szCs w:val="22"/>
              </w:rPr>
              <w:instrText xml:space="preserve"> PAGEREF _Toc431911979 \h </w:instrText>
            </w:r>
            <w:r w:rsidR="00606F43" w:rsidRPr="00606F43">
              <w:rPr>
                <w:webHidden/>
                <w:sz w:val="22"/>
                <w:szCs w:val="22"/>
              </w:rPr>
            </w:r>
            <w:r w:rsidR="00606F43" w:rsidRPr="00606F43">
              <w:rPr>
                <w:webHidden/>
                <w:sz w:val="22"/>
                <w:szCs w:val="22"/>
              </w:rPr>
              <w:fldChar w:fldCharType="separate"/>
            </w:r>
            <w:r w:rsidR="001968CD">
              <w:rPr>
                <w:webHidden/>
                <w:sz w:val="22"/>
                <w:szCs w:val="22"/>
              </w:rPr>
              <w:t>5</w:t>
            </w:r>
            <w:r w:rsidR="00606F43" w:rsidRPr="00606F43">
              <w:rPr>
                <w:webHidden/>
                <w:sz w:val="22"/>
                <w:szCs w:val="22"/>
              </w:rPr>
              <w:fldChar w:fldCharType="end"/>
            </w:r>
          </w:hyperlink>
        </w:p>
        <w:p w14:paraId="513476DA" w14:textId="77777777" w:rsidR="00606F43" w:rsidRPr="00606F43" w:rsidRDefault="00E47BE4" w:rsidP="00606F43">
          <w:pPr>
            <w:pStyle w:val="Obsah1"/>
            <w:spacing w:line="360" w:lineRule="auto"/>
            <w:rPr>
              <w:rFonts w:ascii="Times New Roman" w:eastAsiaTheme="minorEastAsia" w:hAnsi="Times New Roman"/>
              <w:sz w:val="22"/>
              <w:szCs w:val="22"/>
            </w:rPr>
          </w:pPr>
          <w:hyperlink w:anchor="_Toc431911980" w:history="1">
            <w:r w:rsidR="00606F43" w:rsidRPr="00606F43">
              <w:rPr>
                <w:rStyle w:val="Hypertextovodkaz"/>
                <w:rFonts w:ascii="Times New Roman" w:hAnsi="Times New Roman"/>
                <w:sz w:val="22"/>
                <w:szCs w:val="22"/>
              </w:rPr>
              <w:t>B. VÝDAJE</w:t>
            </w:r>
            <w:r w:rsidR="00606F43" w:rsidRPr="00606F43">
              <w:rPr>
                <w:rFonts w:ascii="Times New Roman" w:hAnsi="Times New Roman"/>
                <w:webHidden/>
                <w:sz w:val="22"/>
                <w:szCs w:val="22"/>
              </w:rPr>
              <w:tab/>
            </w:r>
            <w:r w:rsidR="00606F43" w:rsidRPr="00606F43">
              <w:rPr>
                <w:rFonts w:ascii="Times New Roman" w:hAnsi="Times New Roman"/>
                <w:webHidden/>
                <w:sz w:val="22"/>
                <w:szCs w:val="22"/>
              </w:rPr>
              <w:fldChar w:fldCharType="begin"/>
            </w:r>
            <w:r w:rsidR="00606F43" w:rsidRPr="00606F43">
              <w:rPr>
                <w:rFonts w:ascii="Times New Roman" w:hAnsi="Times New Roman"/>
                <w:webHidden/>
                <w:sz w:val="22"/>
                <w:szCs w:val="22"/>
              </w:rPr>
              <w:instrText xml:space="preserve"> PAGEREF _Toc431911980 \h </w:instrText>
            </w:r>
            <w:r w:rsidR="00606F43" w:rsidRPr="00606F43">
              <w:rPr>
                <w:rFonts w:ascii="Times New Roman" w:hAnsi="Times New Roman"/>
                <w:webHidden/>
                <w:sz w:val="22"/>
                <w:szCs w:val="22"/>
              </w:rPr>
            </w:r>
            <w:r w:rsidR="00606F43" w:rsidRPr="00606F43">
              <w:rPr>
                <w:rFonts w:ascii="Times New Roman" w:hAnsi="Times New Roman"/>
                <w:webHidden/>
                <w:sz w:val="22"/>
                <w:szCs w:val="22"/>
              </w:rPr>
              <w:fldChar w:fldCharType="separate"/>
            </w:r>
            <w:r w:rsidR="001968CD">
              <w:rPr>
                <w:rFonts w:ascii="Times New Roman" w:hAnsi="Times New Roman"/>
                <w:webHidden/>
                <w:sz w:val="22"/>
                <w:szCs w:val="22"/>
              </w:rPr>
              <w:t>8</w:t>
            </w:r>
            <w:r w:rsidR="00606F43" w:rsidRPr="00606F43">
              <w:rPr>
                <w:rFonts w:ascii="Times New Roman" w:hAnsi="Times New Roman"/>
                <w:webHidden/>
                <w:sz w:val="22"/>
                <w:szCs w:val="22"/>
              </w:rPr>
              <w:fldChar w:fldCharType="end"/>
            </w:r>
          </w:hyperlink>
        </w:p>
        <w:p w14:paraId="513476DB" w14:textId="77777777" w:rsidR="00606F43" w:rsidRPr="00606F43" w:rsidRDefault="00E47BE4" w:rsidP="00606F43">
          <w:pPr>
            <w:pStyle w:val="Obsah2"/>
            <w:spacing w:line="360" w:lineRule="auto"/>
            <w:rPr>
              <w:rFonts w:eastAsiaTheme="minorEastAsia"/>
              <w:sz w:val="22"/>
              <w:szCs w:val="22"/>
            </w:rPr>
          </w:pPr>
          <w:hyperlink w:anchor="_Toc431911981" w:history="1">
            <w:r w:rsidR="00606F43" w:rsidRPr="00606F43">
              <w:rPr>
                <w:rStyle w:val="Hypertextovodkaz"/>
                <w:sz w:val="22"/>
                <w:szCs w:val="22"/>
              </w:rPr>
              <w:t>B. I. Výdaje na výzkum, vývoj a inovace celkem</w:t>
            </w:r>
            <w:r w:rsidR="00606F43" w:rsidRPr="00606F43">
              <w:rPr>
                <w:webHidden/>
                <w:sz w:val="22"/>
                <w:szCs w:val="22"/>
              </w:rPr>
              <w:tab/>
            </w:r>
            <w:r w:rsidR="00606F43" w:rsidRPr="00606F43">
              <w:rPr>
                <w:webHidden/>
                <w:sz w:val="22"/>
                <w:szCs w:val="22"/>
              </w:rPr>
              <w:fldChar w:fldCharType="begin"/>
            </w:r>
            <w:r w:rsidR="00606F43" w:rsidRPr="00606F43">
              <w:rPr>
                <w:webHidden/>
                <w:sz w:val="22"/>
                <w:szCs w:val="22"/>
              </w:rPr>
              <w:instrText xml:space="preserve"> PAGEREF _Toc431911981 \h </w:instrText>
            </w:r>
            <w:r w:rsidR="00606F43" w:rsidRPr="00606F43">
              <w:rPr>
                <w:webHidden/>
                <w:sz w:val="22"/>
                <w:szCs w:val="22"/>
              </w:rPr>
            </w:r>
            <w:r w:rsidR="00606F43" w:rsidRPr="00606F43">
              <w:rPr>
                <w:webHidden/>
                <w:sz w:val="22"/>
                <w:szCs w:val="22"/>
              </w:rPr>
              <w:fldChar w:fldCharType="separate"/>
            </w:r>
            <w:r w:rsidR="001968CD">
              <w:rPr>
                <w:webHidden/>
                <w:sz w:val="22"/>
                <w:szCs w:val="22"/>
              </w:rPr>
              <w:t>8</w:t>
            </w:r>
            <w:r w:rsidR="00606F43" w:rsidRPr="00606F43">
              <w:rPr>
                <w:webHidden/>
                <w:sz w:val="22"/>
                <w:szCs w:val="22"/>
              </w:rPr>
              <w:fldChar w:fldCharType="end"/>
            </w:r>
          </w:hyperlink>
        </w:p>
        <w:p w14:paraId="513476DC" w14:textId="77777777" w:rsidR="00606F43" w:rsidRPr="00606F43" w:rsidRDefault="00E47BE4" w:rsidP="00606F43">
          <w:pPr>
            <w:pStyle w:val="Obsah2"/>
            <w:spacing w:line="360" w:lineRule="auto"/>
            <w:rPr>
              <w:rFonts w:eastAsiaTheme="minorEastAsia"/>
              <w:sz w:val="22"/>
              <w:szCs w:val="22"/>
            </w:rPr>
          </w:pPr>
          <w:hyperlink w:anchor="_Toc431911982" w:history="1">
            <w:r w:rsidR="00606F43" w:rsidRPr="00606F43">
              <w:rPr>
                <w:rStyle w:val="Hypertextovodkaz"/>
                <w:sz w:val="22"/>
                <w:szCs w:val="22"/>
              </w:rPr>
              <w:t>B. II. Výdaje dle zákona o majetkovém vyrovnání s církvemi a náboženskými společnostmi</w:t>
            </w:r>
            <w:r w:rsidR="00606F43" w:rsidRPr="00606F43">
              <w:rPr>
                <w:webHidden/>
                <w:sz w:val="22"/>
                <w:szCs w:val="22"/>
              </w:rPr>
              <w:tab/>
            </w:r>
            <w:r w:rsidR="00606F43" w:rsidRPr="00606F43">
              <w:rPr>
                <w:webHidden/>
                <w:sz w:val="22"/>
                <w:szCs w:val="22"/>
              </w:rPr>
              <w:fldChar w:fldCharType="begin"/>
            </w:r>
            <w:r w:rsidR="00606F43" w:rsidRPr="00606F43">
              <w:rPr>
                <w:webHidden/>
                <w:sz w:val="22"/>
                <w:szCs w:val="22"/>
              </w:rPr>
              <w:instrText xml:space="preserve"> PAGEREF _Toc431911982 \h </w:instrText>
            </w:r>
            <w:r w:rsidR="00606F43" w:rsidRPr="00606F43">
              <w:rPr>
                <w:webHidden/>
                <w:sz w:val="22"/>
                <w:szCs w:val="22"/>
              </w:rPr>
            </w:r>
            <w:r w:rsidR="00606F43" w:rsidRPr="00606F43">
              <w:rPr>
                <w:webHidden/>
                <w:sz w:val="22"/>
                <w:szCs w:val="22"/>
              </w:rPr>
              <w:fldChar w:fldCharType="separate"/>
            </w:r>
            <w:r w:rsidR="001968CD">
              <w:rPr>
                <w:webHidden/>
                <w:sz w:val="22"/>
                <w:szCs w:val="22"/>
              </w:rPr>
              <w:t>9</w:t>
            </w:r>
            <w:r w:rsidR="00606F43" w:rsidRPr="00606F43">
              <w:rPr>
                <w:webHidden/>
                <w:sz w:val="22"/>
                <w:szCs w:val="22"/>
              </w:rPr>
              <w:fldChar w:fldCharType="end"/>
            </w:r>
          </w:hyperlink>
        </w:p>
        <w:p w14:paraId="513476DD" w14:textId="77777777" w:rsidR="00606F43" w:rsidRPr="00606F43" w:rsidRDefault="00E47BE4" w:rsidP="00606F43">
          <w:pPr>
            <w:pStyle w:val="Obsah2"/>
            <w:spacing w:line="360" w:lineRule="auto"/>
            <w:rPr>
              <w:rFonts w:eastAsiaTheme="minorEastAsia"/>
              <w:sz w:val="22"/>
              <w:szCs w:val="22"/>
            </w:rPr>
          </w:pPr>
          <w:hyperlink w:anchor="_Toc431911983" w:history="1">
            <w:r w:rsidR="00606F43" w:rsidRPr="00606F43">
              <w:rPr>
                <w:rStyle w:val="Hypertextovodkaz"/>
                <w:sz w:val="22"/>
                <w:szCs w:val="22"/>
              </w:rPr>
              <w:t>B. III. Výdaje na zabezpečení plnění úkolů Ministerstva kultury</w:t>
            </w:r>
            <w:r w:rsidR="00606F43" w:rsidRPr="00606F43">
              <w:rPr>
                <w:webHidden/>
                <w:sz w:val="22"/>
                <w:szCs w:val="22"/>
              </w:rPr>
              <w:tab/>
            </w:r>
            <w:r w:rsidR="00606F43" w:rsidRPr="00606F43">
              <w:rPr>
                <w:webHidden/>
                <w:sz w:val="22"/>
                <w:szCs w:val="22"/>
              </w:rPr>
              <w:fldChar w:fldCharType="begin"/>
            </w:r>
            <w:r w:rsidR="00606F43" w:rsidRPr="00606F43">
              <w:rPr>
                <w:webHidden/>
                <w:sz w:val="22"/>
                <w:szCs w:val="22"/>
              </w:rPr>
              <w:instrText xml:space="preserve"> PAGEREF _Toc431911983 \h </w:instrText>
            </w:r>
            <w:r w:rsidR="00606F43" w:rsidRPr="00606F43">
              <w:rPr>
                <w:webHidden/>
                <w:sz w:val="22"/>
                <w:szCs w:val="22"/>
              </w:rPr>
            </w:r>
            <w:r w:rsidR="00606F43" w:rsidRPr="00606F43">
              <w:rPr>
                <w:webHidden/>
                <w:sz w:val="22"/>
                <w:szCs w:val="22"/>
              </w:rPr>
              <w:fldChar w:fldCharType="separate"/>
            </w:r>
            <w:r w:rsidR="001968CD">
              <w:rPr>
                <w:webHidden/>
                <w:sz w:val="22"/>
                <w:szCs w:val="22"/>
              </w:rPr>
              <w:t>10</w:t>
            </w:r>
            <w:r w:rsidR="00606F43" w:rsidRPr="00606F43">
              <w:rPr>
                <w:webHidden/>
                <w:sz w:val="22"/>
                <w:szCs w:val="22"/>
              </w:rPr>
              <w:fldChar w:fldCharType="end"/>
            </w:r>
          </w:hyperlink>
        </w:p>
        <w:p w14:paraId="513476DE" w14:textId="77777777" w:rsidR="00606F43" w:rsidRPr="00606F43" w:rsidRDefault="00E47BE4" w:rsidP="00606F43">
          <w:pPr>
            <w:pStyle w:val="Obsah2"/>
            <w:spacing w:line="360" w:lineRule="auto"/>
            <w:rPr>
              <w:rFonts w:eastAsiaTheme="minorEastAsia"/>
              <w:sz w:val="22"/>
              <w:szCs w:val="22"/>
            </w:rPr>
          </w:pPr>
          <w:hyperlink w:anchor="_Toc431911984" w:history="1">
            <w:r w:rsidR="00606F43" w:rsidRPr="00606F43">
              <w:rPr>
                <w:rStyle w:val="Hypertextovodkaz"/>
                <w:sz w:val="22"/>
                <w:szCs w:val="22"/>
              </w:rPr>
              <w:t>B. IV. Příspěvkové organizace zřízené Ministerstvem kultury</w:t>
            </w:r>
            <w:r w:rsidR="00606F43" w:rsidRPr="00606F43">
              <w:rPr>
                <w:webHidden/>
                <w:sz w:val="22"/>
                <w:szCs w:val="22"/>
              </w:rPr>
              <w:tab/>
            </w:r>
            <w:r w:rsidR="00606F43" w:rsidRPr="00606F43">
              <w:rPr>
                <w:webHidden/>
                <w:sz w:val="22"/>
                <w:szCs w:val="22"/>
              </w:rPr>
              <w:fldChar w:fldCharType="begin"/>
            </w:r>
            <w:r w:rsidR="00606F43" w:rsidRPr="00606F43">
              <w:rPr>
                <w:webHidden/>
                <w:sz w:val="22"/>
                <w:szCs w:val="22"/>
              </w:rPr>
              <w:instrText xml:space="preserve"> PAGEREF _Toc431911984 \h </w:instrText>
            </w:r>
            <w:r w:rsidR="00606F43" w:rsidRPr="00606F43">
              <w:rPr>
                <w:webHidden/>
                <w:sz w:val="22"/>
                <w:szCs w:val="22"/>
              </w:rPr>
            </w:r>
            <w:r w:rsidR="00606F43" w:rsidRPr="00606F43">
              <w:rPr>
                <w:webHidden/>
                <w:sz w:val="22"/>
                <w:szCs w:val="22"/>
              </w:rPr>
              <w:fldChar w:fldCharType="separate"/>
            </w:r>
            <w:r w:rsidR="001968CD">
              <w:rPr>
                <w:webHidden/>
                <w:sz w:val="22"/>
                <w:szCs w:val="22"/>
              </w:rPr>
              <w:t>12</w:t>
            </w:r>
            <w:r w:rsidR="00606F43" w:rsidRPr="00606F43">
              <w:rPr>
                <w:webHidden/>
                <w:sz w:val="22"/>
                <w:szCs w:val="22"/>
              </w:rPr>
              <w:fldChar w:fldCharType="end"/>
            </w:r>
          </w:hyperlink>
        </w:p>
        <w:p w14:paraId="513476DF" w14:textId="77777777" w:rsidR="00606F43" w:rsidRPr="00606F43" w:rsidRDefault="00E47BE4" w:rsidP="00606F43">
          <w:pPr>
            <w:pStyle w:val="Obsah2"/>
            <w:spacing w:line="360" w:lineRule="auto"/>
            <w:rPr>
              <w:rFonts w:eastAsiaTheme="minorEastAsia"/>
              <w:sz w:val="22"/>
              <w:szCs w:val="22"/>
            </w:rPr>
          </w:pPr>
          <w:hyperlink w:anchor="_Toc431911985" w:history="1">
            <w:r w:rsidR="00606F43" w:rsidRPr="00606F43">
              <w:rPr>
                <w:rStyle w:val="Hypertextovodkaz"/>
                <w:sz w:val="22"/>
                <w:szCs w:val="22"/>
              </w:rPr>
              <w:t>B. V. Kulturní služby, podpora živého umění</w:t>
            </w:r>
            <w:r w:rsidR="00606F43" w:rsidRPr="00606F43">
              <w:rPr>
                <w:webHidden/>
                <w:sz w:val="22"/>
                <w:szCs w:val="22"/>
              </w:rPr>
              <w:tab/>
            </w:r>
            <w:r w:rsidR="00606F43" w:rsidRPr="00606F43">
              <w:rPr>
                <w:webHidden/>
                <w:sz w:val="22"/>
                <w:szCs w:val="22"/>
              </w:rPr>
              <w:fldChar w:fldCharType="begin"/>
            </w:r>
            <w:r w:rsidR="00606F43" w:rsidRPr="00606F43">
              <w:rPr>
                <w:webHidden/>
                <w:sz w:val="22"/>
                <w:szCs w:val="22"/>
              </w:rPr>
              <w:instrText xml:space="preserve"> PAGEREF _Toc431911985 \h </w:instrText>
            </w:r>
            <w:r w:rsidR="00606F43" w:rsidRPr="00606F43">
              <w:rPr>
                <w:webHidden/>
                <w:sz w:val="22"/>
                <w:szCs w:val="22"/>
              </w:rPr>
            </w:r>
            <w:r w:rsidR="00606F43" w:rsidRPr="00606F43">
              <w:rPr>
                <w:webHidden/>
                <w:sz w:val="22"/>
                <w:szCs w:val="22"/>
              </w:rPr>
              <w:fldChar w:fldCharType="separate"/>
            </w:r>
            <w:r w:rsidR="001968CD">
              <w:rPr>
                <w:webHidden/>
                <w:sz w:val="22"/>
                <w:szCs w:val="22"/>
              </w:rPr>
              <w:t>26</w:t>
            </w:r>
            <w:r w:rsidR="00606F43" w:rsidRPr="00606F43">
              <w:rPr>
                <w:webHidden/>
                <w:sz w:val="22"/>
                <w:szCs w:val="22"/>
              </w:rPr>
              <w:fldChar w:fldCharType="end"/>
            </w:r>
          </w:hyperlink>
        </w:p>
        <w:p w14:paraId="513476E0" w14:textId="77777777" w:rsidR="00606F43" w:rsidRPr="00606F43" w:rsidRDefault="00E47BE4" w:rsidP="00606F43">
          <w:pPr>
            <w:pStyle w:val="Obsah2"/>
            <w:spacing w:line="360" w:lineRule="auto"/>
            <w:rPr>
              <w:rFonts w:eastAsiaTheme="minorEastAsia"/>
              <w:sz w:val="22"/>
              <w:szCs w:val="22"/>
            </w:rPr>
          </w:pPr>
          <w:hyperlink w:anchor="_Toc431911986" w:history="1">
            <w:r w:rsidR="00606F43" w:rsidRPr="00606F43">
              <w:rPr>
                <w:rStyle w:val="Hypertextovodkaz"/>
                <w:sz w:val="22"/>
                <w:szCs w:val="22"/>
              </w:rPr>
              <w:t>B. VI. Záchrana a obnova kulturních památek, veřejné služby muzeí</w:t>
            </w:r>
            <w:r w:rsidR="00606F43" w:rsidRPr="00606F43">
              <w:rPr>
                <w:webHidden/>
                <w:sz w:val="22"/>
                <w:szCs w:val="22"/>
              </w:rPr>
              <w:tab/>
            </w:r>
            <w:r w:rsidR="00606F43" w:rsidRPr="00606F43">
              <w:rPr>
                <w:webHidden/>
                <w:sz w:val="22"/>
                <w:szCs w:val="22"/>
              </w:rPr>
              <w:fldChar w:fldCharType="begin"/>
            </w:r>
            <w:r w:rsidR="00606F43" w:rsidRPr="00606F43">
              <w:rPr>
                <w:webHidden/>
                <w:sz w:val="22"/>
                <w:szCs w:val="22"/>
              </w:rPr>
              <w:instrText xml:space="preserve"> PAGEREF _Toc431911986 \h </w:instrText>
            </w:r>
            <w:r w:rsidR="00606F43" w:rsidRPr="00606F43">
              <w:rPr>
                <w:webHidden/>
                <w:sz w:val="22"/>
                <w:szCs w:val="22"/>
              </w:rPr>
            </w:r>
            <w:r w:rsidR="00606F43" w:rsidRPr="00606F43">
              <w:rPr>
                <w:webHidden/>
                <w:sz w:val="22"/>
                <w:szCs w:val="22"/>
              </w:rPr>
              <w:fldChar w:fldCharType="separate"/>
            </w:r>
            <w:r w:rsidR="001968CD">
              <w:rPr>
                <w:webHidden/>
                <w:sz w:val="22"/>
                <w:szCs w:val="22"/>
              </w:rPr>
              <w:t>29</w:t>
            </w:r>
            <w:r w:rsidR="00606F43" w:rsidRPr="00606F43">
              <w:rPr>
                <w:webHidden/>
                <w:sz w:val="22"/>
                <w:szCs w:val="22"/>
              </w:rPr>
              <w:fldChar w:fldCharType="end"/>
            </w:r>
          </w:hyperlink>
        </w:p>
        <w:p w14:paraId="513476E1" w14:textId="77777777" w:rsidR="00606F43" w:rsidRPr="00606F43" w:rsidRDefault="00E47BE4" w:rsidP="00606F43">
          <w:pPr>
            <w:pStyle w:val="Obsah2"/>
            <w:spacing w:line="360" w:lineRule="auto"/>
            <w:rPr>
              <w:rFonts w:eastAsiaTheme="minorEastAsia"/>
              <w:sz w:val="22"/>
              <w:szCs w:val="22"/>
            </w:rPr>
          </w:pPr>
          <w:hyperlink w:anchor="_Toc431911987" w:history="1">
            <w:r w:rsidR="00606F43" w:rsidRPr="00606F43">
              <w:rPr>
                <w:rStyle w:val="Hypertextovodkaz"/>
                <w:sz w:val="22"/>
                <w:szCs w:val="22"/>
              </w:rPr>
              <w:t>B. VII. Podpora kultury národnostních menšin</w:t>
            </w:r>
            <w:r w:rsidR="00606F43" w:rsidRPr="00606F43">
              <w:rPr>
                <w:webHidden/>
                <w:sz w:val="22"/>
                <w:szCs w:val="22"/>
              </w:rPr>
              <w:tab/>
            </w:r>
            <w:r w:rsidR="00606F43" w:rsidRPr="00606F43">
              <w:rPr>
                <w:webHidden/>
                <w:sz w:val="22"/>
                <w:szCs w:val="22"/>
              </w:rPr>
              <w:fldChar w:fldCharType="begin"/>
            </w:r>
            <w:r w:rsidR="00606F43" w:rsidRPr="00606F43">
              <w:rPr>
                <w:webHidden/>
                <w:sz w:val="22"/>
                <w:szCs w:val="22"/>
              </w:rPr>
              <w:instrText xml:space="preserve"> PAGEREF _Toc431911987 \h </w:instrText>
            </w:r>
            <w:r w:rsidR="00606F43" w:rsidRPr="00606F43">
              <w:rPr>
                <w:webHidden/>
                <w:sz w:val="22"/>
                <w:szCs w:val="22"/>
              </w:rPr>
            </w:r>
            <w:r w:rsidR="00606F43" w:rsidRPr="00606F43">
              <w:rPr>
                <w:webHidden/>
                <w:sz w:val="22"/>
                <w:szCs w:val="22"/>
              </w:rPr>
              <w:fldChar w:fldCharType="separate"/>
            </w:r>
            <w:r w:rsidR="001968CD">
              <w:rPr>
                <w:webHidden/>
                <w:sz w:val="22"/>
                <w:szCs w:val="22"/>
              </w:rPr>
              <w:t>35</w:t>
            </w:r>
            <w:r w:rsidR="00606F43" w:rsidRPr="00606F43">
              <w:rPr>
                <w:webHidden/>
                <w:sz w:val="22"/>
                <w:szCs w:val="22"/>
              </w:rPr>
              <w:fldChar w:fldCharType="end"/>
            </w:r>
          </w:hyperlink>
        </w:p>
        <w:p w14:paraId="513476E2" w14:textId="77777777" w:rsidR="00606F43" w:rsidRPr="00606F43" w:rsidRDefault="00E47BE4" w:rsidP="00606F43">
          <w:pPr>
            <w:pStyle w:val="Obsah2"/>
            <w:spacing w:line="360" w:lineRule="auto"/>
            <w:rPr>
              <w:rFonts w:eastAsiaTheme="minorEastAsia"/>
              <w:sz w:val="22"/>
              <w:szCs w:val="22"/>
            </w:rPr>
          </w:pPr>
          <w:hyperlink w:anchor="_Toc431911988" w:history="1">
            <w:r w:rsidR="00606F43" w:rsidRPr="00606F43">
              <w:rPr>
                <w:rStyle w:val="Hypertextovodkaz"/>
                <w:sz w:val="22"/>
                <w:szCs w:val="22"/>
              </w:rPr>
              <w:t>B. VIII. Podpora rozvoje a obnovy materiálně technické základny regionálních kulturních zařízení</w:t>
            </w:r>
            <w:r w:rsidR="00606F43" w:rsidRPr="00606F43">
              <w:rPr>
                <w:webHidden/>
                <w:sz w:val="22"/>
                <w:szCs w:val="22"/>
              </w:rPr>
              <w:tab/>
            </w:r>
            <w:r w:rsidR="00606F43" w:rsidRPr="00606F43">
              <w:rPr>
                <w:webHidden/>
                <w:sz w:val="22"/>
                <w:szCs w:val="22"/>
              </w:rPr>
              <w:fldChar w:fldCharType="begin"/>
            </w:r>
            <w:r w:rsidR="00606F43" w:rsidRPr="00606F43">
              <w:rPr>
                <w:webHidden/>
                <w:sz w:val="22"/>
                <w:szCs w:val="22"/>
              </w:rPr>
              <w:instrText xml:space="preserve"> PAGEREF _Toc431911988 \h </w:instrText>
            </w:r>
            <w:r w:rsidR="00606F43" w:rsidRPr="00606F43">
              <w:rPr>
                <w:webHidden/>
                <w:sz w:val="22"/>
                <w:szCs w:val="22"/>
              </w:rPr>
            </w:r>
            <w:r w:rsidR="00606F43" w:rsidRPr="00606F43">
              <w:rPr>
                <w:webHidden/>
                <w:sz w:val="22"/>
                <w:szCs w:val="22"/>
              </w:rPr>
              <w:fldChar w:fldCharType="separate"/>
            </w:r>
            <w:r w:rsidR="001968CD">
              <w:rPr>
                <w:webHidden/>
                <w:sz w:val="22"/>
                <w:szCs w:val="22"/>
              </w:rPr>
              <w:t>36</w:t>
            </w:r>
            <w:r w:rsidR="00606F43" w:rsidRPr="00606F43">
              <w:rPr>
                <w:webHidden/>
                <w:sz w:val="22"/>
                <w:szCs w:val="22"/>
              </w:rPr>
              <w:fldChar w:fldCharType="end"/>
            </w:r>
          </w:hyperlink>
        </w:p>
        <w:p w14:paraId="513476E3" w14:textId="77777777" w:rsidR="00606F43" w:rsidRPr="00606F43" w:rsidRDefault="00E47BE4" w:rsidP="00606F43">
          <w:pPr>
            <w:pStyle w:val="Obsah2"/>
            <w:spacing w:line="360" w:lineRule="auto"/>
            <w:rPr>
              <w:rFonts w:eastAsiaTheme="minorEastAsia"/>
              <w:sz w:val="22"/>
              <w:szCs w:val="22"/>
            </w:rPr>
          </w:pPr>
          <w:hyperlink w:anchor="_Toc431911989" w:history="1">
            <w:r w:rsidR="00606F43" w:rsidRPr="00606F43">
              <w:rPr>
                <w:rStyle w:val="Hypertextovodkaz"/>
                <w:sz w:val="22"/>
                <w:szCs w:val="22"/>
              </w:rPr>
              <w:t>B. IX. Státní fond kinematografie</w:t>
            </w:r>
            <w:r w:rsidR="00606F43" w:rsidRPr="00606F43">
              <w:rPr>
                <w:webHidden/>
                <w:sz w:val="22"/>
                <w:szCs w:val="22"/>
              </w:rPr>
              <w:tab/>
            </w:r>
            <w:r w:rsidR="00606F43" w:rsidRPr="00606F43">
              <w:rPr>
                <w:webHidden/>
                <w:sz w:val="22"/>
                <w:szCs w:val="22"/>
              </w:rPr>
              <w:fldChar w:fldCharType="begin"/>
            </w:r>
            <w:r w:rsidR="00606F43" w:rsidRPr="00606F43">
              <w:rPr>
                <w:webHidden/>
                <w:sz w:val="22"/>
                <w:szCs w:val="22"/>
              </w:rPr>
              <w:instrText xml:space="preserve"> PAGEREF _Toc431911989 \h </w:instrText>
            </w:r>
            <w:r w:rsidR="00606F43" w:rsidRPr="00606F43">
              <w:rPr>
                <w:webHidden/>
                <w:sz w:val="22"/>
                <w:szCs w:val="22"/>
              </w:rPr>
            </w:r>
            <w:r w:rsidR="00606F43" w:rsidRPr="00606F43">
              <w:rPr>
                <w:webHidden/>
                <w:sz w:val="22"/>
                <w:szCs w:val="22"/>
              </w:rPr>
              <w:fldChar w:fldCharType="separate"/>
            </w:r>
            <w:r w:rsidR="001968CD">
              <w:rPr>
                <w:webHidden/>
                <w:sz w:val="22"/>
                <w:szCs w:val="22"/>
              </w:rPr>
              <w:t>36</w:t>
            </w:r>
            <w:r w:rsidR="00606F43" w:rsidRPr="00606F43">
              <w:rPr>
                <w:webHidden/>
                <w:sz w:val="22"/>
                <w:szCs w:val="22"/>
              </w:rPr>
              <w:fldChar w:fldCharType="end"/>
            </w:r>
          </w:hyperlink>
        </w:p>
        <w:p w14:paraId="513476E4" w14:textId="77777777" w:rsidR="00606F43" w:rsidRPr="00606F43" w:rsidRDefault="00E47BE4" w:rsidP="00606F43">
          <w:pPr>
            <w:pStyle w:val="Obsah1"/>
            <w:spacing w:line="360" w:lineRule="auto"/>
            <w:rPr>
              <w:rFonts w:ascii="Times New Roman" w:eastAsiaTheme="minorEastAsia" w:hAnsi="Times New Roman"/>
              <w:sz w:val="22"/>
              <w:szCs w:val="22"/>
            </w:rPr>
          </w:pPr>
          <w:hyperlink w:anchor="_Toc431911990" w:history="1">
            <w:r w:rsidR="00606F43" w:rsidRPr="00606F43">
              <w:rPr>
                <w:rStyle w:val="Hypertextovodkaz"/>
                <w:rFonts w:ascii="Times New Roman" w:hAnsi="Times New Roman"/>
                <w:sz w:val="22"/>
                <w:szCs w:val="22"/>
              </w:rPr>
              <w:t>C. VYBRANÉ SPECIFICKÉ UKAZATELE</w:t>
            </w:r>
            <w:r w:rsidR="00606F43" w:rsidRPr="00606F43">
              <w:rPr>
                <w:rFonts w:ascii="Times New Roman" w:hAnsi="Times New Roman"/>
                <w:webHidden/>
                <w:sz w:val="22"/>
                <w:szCs w:val="22"/>
              </w:rPr>
              <w:tab/>
            </w:r>
            <w:r w:rsidR="00606F43" w:rsidRPr="00606F43">
              <w:rPr>
                <w:rFonts w:ascii="Times New Roman" w:hAnsi="Times New Roman"/>
                <w:webHidden/>
                <w:sz w:val="22"/>
                <w:szCs w:val="22"/>
              </w:rPr>
              <w:fldChar w:fldCharType="begin"/>
            </w:r>
            <w:r w:rsidR="00606F43" w:rsidRPr="00606F43">
              <w:rPr>
                <w:rFonts w:ascii="Times New Roman" w:hAnsi="Times New Roman"/>
                <w:webHidden/>
                <w:sz w:val="22"/>
                <w:szCs w:val="22"/>
              </w:rPr>
              <w:instrText xml:space="preserve"> PAGEREF _Toc431911990 \h </w:instrText>
            </w:r>
            <w:r w:rsidR="00606F43" w:rsidRPr="00606F43">
              <w:rPr>
                <w:rFonts w:ascii="Times New Roman" w:hAnsi="Times New Roman"/>
                <w:webHidden/>
                <w:sz w:val="22"/>
                <w:szCs w:val="22"/>
              </w:rPr>
            </w:r>
            <w:r w:rsidR="00606F43" w:rsidRPr="00606F43">
              <w:rPr>
                <w:rFonts w:ascii="Times New Roman" w:hAnsi="Times New Roman"/>
                <w:webHidden/>
                <w:sz w:val="22"/>
                <w:szCs w:val="22"/>
              </w:rPr>
              <w:fldChar w:fldCharType="separate"/>
            </w:r>
            <w:r w:rsidR="001968CD">
              <w:rPr>
                <w:rFonts w:ascii="Times New Roman" w:hAnsi="Times New Roman"/>
                <w:webHidden/>
                <w:sz w:val="22"/>
                <w:szCs w:val="22"/>
              </w:rPr>
              <w:t>38</w:t>
            </w:r>
            <w:r w:rsidR="00606F43" w:rsidRPr="00606F43">
              <w:rPr>
                <w:rFonts w:ascii="Times New Roman" w:hAnsi="Times New Roman"/>
                <w:webHidden/>
                <w:sz w:val="22"/>
                <w:szCs w:val="22"/>
              </w:rPr>
              <w:fldChar w:fldCharType="end"/>
            </w:r>
          </w:hyperlink>
        </w:p>
        <w:p w14:paraId="513476E5" w14:textId="77777777" w:rsidR="00606F43" w:rsidRPr="00606F43" w:rsidRDefault="00E47BE4" w:rsidP="00606F43">
          <w:pPr>
            <w:pStyle w:val="Obsah2"/>
            <w:tabs>
              <w:tab w:val="left" w:pos="880"/>
            </w:tabs>
            <w:spacing w:line="360" w:lineRule="auto"/>
            <w:rPr>
              <w:rFonts w:eastAsiaTheme="minorEastAsia"/>
              <w:sz w:val="22"/>
              <w:szCs w:val="22"/>
            </w:rPr>
          </w:pPr>
          <w:hyperlink w:anchor="_Toc431911991" w:history="1">
            <w:r w:rsidR="00606F43" w:rsidRPr="00606F43">
              <w:rPr>
                <w:rStyle w:val="Hypertextovodkaz"/>
                <w:sz w:val="22"/>
                <w:szCs w:val="22"/>
              </w:rPr>
              <w:t>C. I.</w:t>
            </w:r>
            <w:r w:rsidR="00606F43" w:rsidRPr="00606F43">
              <w:rPr>
                <w:rFonts w:eastAsiaTheme="minorEastAsia"/>
                <w:sz w:val="22"/>
                <w:szCs w:val="22"/>
              </w:rPr>
              <w:tab/>
            </w:r>
            <w:r w:rsidR="00606F43" w:rsidRPr="00606F43">
              <w:rPr>
                <w:rStyle w:val="Hypertextovodkaz"/>
                <w:sz w:val="22"/>
                <w:szCs w:val="22"/>
              </w:rPr>
              <w:t>Výdaje sledované v Evidenčním dotačním systému/ Správa majetku ve vlastnictví státu</w:t>
            </w:r>
            <w:r w:rsidR="00606F43" w:rsidRPr="00606F43">
              <w:rPr>
                <w:webHidden/>
                <w:sz w:val="22"/>
                <w:szCs w:val="22"/>
              </w:rPr>
              <w:tab/>
            </w:r>
            <w:r w:rsidR="00606F43" w:rsidRPr="00606F43">
              <w:rPr>
                <w:webHidden/>
                <w:sz w:val="22"/>
                <w:szCs w:val="22"/>
              </w:rPr>
              <w:fldChar w:fldCharType="begin"/>
            </w:r>
            <w:r w:rsidR="00606F43" w:rsidRPr="00606F43">
              <w:rPr>
                <w:webHidden/>
                <w:sz w:val="22"/>
                <w:szCs w:val="22"/>
              </w:rPr>
              <w:instrText xml:space="preserve"> PAGEREF _Toc431911991 \h </w:instrText>
            </w:r>
            <w:r w:rsidR="00606F43" w:rsidRPr="00606F43">
              <w:rPr>
                <w:webHidden/>
                <w:sz w:val="22"/>
                <w:szCs w:val="22"/>
              </w:rPr>
            </w:r>
            <w:r w:rsidR="00606F43" w:rsidRPr="00606F43">
              <w:rPr>
                <w:webHidden/>
                <w:sz w:val="22"/>
                <w:szCs w:val="22"/>
              </w:rPr>
              <w:fldChar w:fldCharType="separate"/>
            </w:r>
            <w:r w:rsidR="001968CD">
              <w:rPr>
                <w:webHidden/>
                <w:sz w:val="22"/>
                <w:szCs w:val="22"/>
              </w:rPr>
              <w:t>38</w:t>
            </w:r>
            <w:r w:rsidR="00606F43" w:rsidRPr="00606F43">
              <w:rPr>
                <w:webHidden/>
                <w:sz w:val="22"/>
                <w:szCs w:val="22"/>
              </w:rPr>
              <w:fldChar w:fldCharType="end"/>
            </w:r>
          </w:hyperlink>
        </w:p>
        <w:p w14:paraId="513476E6" w14:textId="77777777" w:rsidR="00606F43" w:rsidRPr="00606F43" w:rsidRDefault="00E47BE4" w:rsidP="00606F43">
          <w:pPr>
            <w:pStyle w:val="Obsah2"/>
            <w:tabs>
              <w:tab w:val="left" w:pos="1100"/>
            </w:tabs>
            <w:spacing w:line="360" w:lineRule="auto"/>
            <w:rPr>
              <w:rFonts w:eastAsiaTheme="minorEastAsia"/>
              <w:sz w:val="22"/>
              <w:szCs w:val="22"/>
            </w:rPr>
          </w:pPr>
          <w:hyperlink w:anchor="_Toc431911992" w:history="1">
            <w:r w:rsidR="00606F43" w:rsidRPr="00606F43">
              <w:rPr>
                <w:rStyle w:val="Hypertextovodkaz"/>
                <w:sz w:val="22"/>
                <w:szCs w:val="22"/>
              </w:rPr>
              <w:t>C. II.</w:t>
            </w:r>
            <w:r w:rsidR="00606F43" w:rsidRPr="00606F43">
              <w:rPr>
                <w:rFonts w:eastAsiaTheme="minorEastAsia"/>
                <w:sz w:val="22"/>
                <w:szCs w:val="22"/>
              </w:rPr>
              <w:tab/>
            </w:r>
            <w:r w:rsidR="00606F43" w:rsidRPr="00606F43">
              <w:rPr>
                <w:rStyle w:val="Hypertextovodkaz"/>
                <w:sz w:val="22"/>
                <w:szCs w:val="22"/>
              </w:rPr>
              <w:t>Výdaje spolufinancované zcela nebo částečně z </w:t>
            </w:r>
            <w:r w:rsidR="00202815">
              <w:rPr>
                <w:rStyle w:val="Hypertextovodkaz"/>
                <w:sz w:val="22"/>
                <w:szCs w:val="22"/>
              </w:rPr>
              <w:t>rozpočtu</w:t>
            </w:r>
            <w:r w:rsidR="00606F43" w:rsidRPr="00606F43">
              <w:rPr>
                <w:rStyle w:val="Hypertextovodkaz"/>
                <w:sz w:val="22"/>
                <w:szCs w:val="22"/>
              </w:rPr>
              <w:t xml:space="preserve"> Evropské unie</w:t>
            </w:r>
          </w:hyperlink>
          <w:r w:rsidR="00606F43">
            <w:rPr>
              <w:rFonts w:eastAsiaTheme="minorEastAsia"/>
              <w:sz w:val="22"/>
              <w:szCs w:val="22"/>
            </w:rPr>
            <w:t xml:space="preserve"> </w:t>
          </w:r>
          <w:hyperlink w:anchor="_Toc431911993" w:history="1">
            <w:r w:rsidR="002B6B50">
              <w:rPr>
                <w:rStyle w:val="Hypertextovodkaz"/>
                <w:sz w:val="22"/>
                <w:szCs w:val="22"/>
              </w:rPr>
              <w:t>bez</w:t>
            </w:r>
            <w:r w:rsidR="00606F43" w:rsidRPr="00606F43">
              <w:rPr>
                <w:rStyle w:val="Hypertextovodkaz"/>
                <w:sz w:val="22"/>
                <w:szCs w:val="22"/>
              </w:rPr>
              <w:t xml:space="preserve"> společné zemědělské politiky 2014 - 2020</w:t>
            </w:r>
            <w:r w:rsidR="00606F43" w:rsidRPr="00606F43">
              <w:rPr>
                <w:webHidden/>
                <w:sz w:val="22"/>
                <w:szCs w:val="22"/>
              </w:rPr>
              <w:tab/>
            </w:r>
            <w:r w:rsidR="00606F43" w:rsidRPr="00606F43">
              <w:rPr>
                <w:webHidden/>
                <w:sz w:val="22"/>
                <w:szCs w:val="22"/>
              </w:rPr>
              <w:fldChar w:fldCharType="begin"/>
            </w:r>
            <w:r w:rsidR="00606F43" w:rsidRPr="00606F43">
              <w:rPr>
                <w:webHidden/>
                <w:sz w:val="22"/>
                <w:szCs w:val="22"/>
              </w:rPr>
              <w:instrText xml:space="preserve"> PAGEREF _Toc431911993 \h </w:instrText>
            </w:r>
            <w:r w:rsidR="00606F43" w:rsidRPr="00606F43">
              <w:rPr>
                <w:webHidden/>
                <w:sz w:val="22"/>
                <w:szCs w:val="22"/>
              </w:rPr>
            </w:r>
            <w:r w:rsidR="00606F43" w:rsidRPr="00606F43">
              <w:rPr>
                <w:webHidden/>
                <w:sz w:val="22"/>
                <w:szCs w:val="22"/>
              </w:rPr>
              <w:fldChar w:fldCharType="separate"/>
            </w:r>
            <w:r w:rsidR="001968CD">
              <w:rPr>
                <w:webHidden/>
                <w:sz w:val="22"/>
                <w:szCs w:val="22"/>
              </w:rPr>
              <w:t>39</w:t>
            </w:r>
            <w:r w:rsidR="00606F43" w:rsidRPr="00606F43">
              <w:rPr>
                <w:webHidden/>
                <w:sz w:val="22"/>
                <w:szCs w:val="22"/>
              </w:rPr>
              <w:fldChar w:fldCharType="end"/>
            </w:r>
          </w:hyperlink>
        </w:p>
        <w:p w14:paraId="513476E7" w14:textId="77777777" w:rsidR="00606F43" w:rsidRPr="00606F43" w:rsidRDefault="00E47BE4" w:rsidP="00606F43">
          <w:pPr>
            <w:pStyle w:val="Obsah2"/>
            <w:tabs>
              <w:tab w:val="left" w:pos="1100"/>
            </w:tabs>
            <w:spacing w:line="360" w:lineRule="auto"/>
            <w:rPr>
              <w:rFonts w:eastAsiaTheme="minorEastAsia"/>
              <w:sz w:val="22"/>
              <w:szCs w:val="22"/>
            </w:rPr>
          </w:pPr>
          <w:hyperlink w:anchor="_Toc431911994" w:history="1">
            <w:r w:rsidR="00606F43" w:rsidRPr="00606F43">
              <w:rPr>
                <w:rStyle w:val="Hypertextovodkaz"/>
                <w:sz w:val="22"/>
                <w:szCs w:val="22"/>
              </w:rPr>
              <w:t>C. III.</w:t>
            </w:r>
            <w:r w:rsidR="00606F43" w:rsidRPr="00606F43">
              <w:rPr>
                <w:rFonts w:eastAsiaTheme="minorEastAsia"/>
                <w:sz w:val="22"/>
                <w:szCs w:val="22"/>
              </w:rPr>
              <w:tab/>
            </w:r>
            <w:r w:rsidR="00606F43" w:rsidRPr="00606F43">
              <w:rPr>
                <w:rStyle w:val="Hypertextovodkaz"/>
                <w:sz w:val="22"/>
                <w:szCs w:val="22"/>
              </w:rPr>
              <w:t>Výdaje na společné projekty, které jsou zcela nebo částečně</w:t>
            </w:r>
            <w:r w:rsidR="00606F43" w:rsidRPr="00606F43">
              <w:t xml:space="preserve"> </w:t>
            </w:r>
            <w:r w:rsidR="00606F43" w:rsidRPr="00606F43">
              <w:rPr>
                <w:rStyle w:val="Hypertextovodkaz"/>
                <w:sz w:val="22"/>
                <w:szCs w:val="22"/>
              </w:rPr>
              <w:t>financovány z prostředků</w:t>
            </w:r>
          </w:hyperlink>
          <w:r w:rsidR="00606F43">
            <w:rPr>
              <w:rFonts w:eastAsiaTheme="minorEastAsia"/>
              <w:sz w:val="22"/>
              <w:szCs w:val="22"/>
            </w:rPr>
            <w:t xml:space="preserve"> </w:t>
          </w:r>
          <w:hyperlink w:anchor="_Toc431911995" w:history="1">
            <w:r w:rsidR="00606F43" w:rsidRPr="00606F43">
              <w:rPr>
                <w:rStyle w:val="Hypertextovodkaz"/>
                <w:sz w:val="22"/>
                <w:szCs w:val="22"/>
              </w:rPr>
              <w:t>finančních mechanismů</w:t>
            </w:r>
            <w:r w:rsidR="00606F43" w:rsidRPr="00606F43">
              <w:rPr>
                <w:webHidden/>
                <w:sz w:val="22"/>
                <w:szCs w:val="22"/>
              </w:rPr>
              <w:tab/>
            </w:r>
            <w:r w:rsidR="00606F43" w:rsidRPr="00606F43">
              <w:rPr>
                <w:webHidden/>
                <w:sz w:val="22"/>
                <w:szCs w:val="22"/>
              </w:rPr>
              <w:fldChar w:fldCharType="begin"/>
            </w:r>
            <w:r w:rsidR="00606F43" w:rsidRPr="00606F43">
              <w:rPr>
                <w:webHidden/>
                <w:sz w:val="22"/>
                <w:szCs w:val="22"/>
              </w:rPr>
              <w:instrText xml:space="preserve"> PAGEREF _Toc431911995 \h </w:instrText>
            </w:r>
            <w:r w:rsidR="00606F43" w:rsidRPr="00606F43">
              <w:rPr>
                <w:webHidden/>
                <w:sz w:val="22"/>
                <w:szCs w:val="22"/>
              </w:rPr>
            </w:r>
            <w:r w:rsidR="00606F43" w:rsidRPr="00606F43">
              <w:rPr>
                <w:webHidden/>
                <w:sz w:val="22"/>
                <w:szCs w:val="22"/>
              </w:rPr>
              <w:fldChar w:fldCharType="separate"/>
            </w:r>
            <w:r w:rsidR="001968CD">
              <w:rPr>
                <w:webHidden/>
                <w:sz w:val="22"/>
                <w:szCs w:val="22"/>
              </w:rPr>
              <w:t>42</w:t>
            </w:r>
            <w:r w:rsidR="00606F43" w:rsidRPr="00606F43">
              <w:rPr>
                <w:webHidden/>
                <w:sz w:val="22"/>
                <w:szCs w:val="22"/>
              </w:rPr>
              <w:fldChar w:fldCharType="end"/>
            </w:r>
          </w:hyperlink>
        </w:p>
        <w:p w14:paraId="513476E8" w14:textId="77777777" w:rsidR="00606F43" w:rsidRPr="00606F43" w:rsidRDefault="00E47BE4" w:rsidP="00606F43">
          <w:pPr>
            <w:pStyle w:val="Obsah2"/>
            <w:tabs>
              <w:tab w:val="left" w:pos="1100"/>
            </w:tabs>
            <w:spacing w:line="360" w:lineRule="auto"/>
            <w:rPr>
              <w:rFonts w:eastAsiaTheme="minorEastAsia"/>
              <w:sz w:val="22"/>
              <w:szCs w:val="22"/>
            </w:rPr>
          </w:pPr>
          <w:hyperlink w:anchor="_Toc431911996" w:history="1">
            <w:r w:rsidR="00606F43" w:rsidRPr="00606F43">
              <w:rPr>
                <w:rStyle w:val="Hypertextovodkaz"/>
                <w:sz w:val="22"/>
                <w:szCs w:val="22"/>
              </w:rPr>
              <w:t>C. IV.</w:t>
            </w:r>
            <w:r w:rsidR="00606F43" w:rsidRPr="00606F43">
              <w:rPr>
                <w:rFonts w:eastAsiaTheme="minorEastAsia"/>
                <w:sz w:val="22"/>
                <w:szCs w:val="22"/>
              </w:rPr>
              <w:tab/>
            </w:r>
            <w:r w:rsidR="00606F43" w:rsidRPr="00606F43">
              <w:rPr>
                <w:rStyle w:val="Hypertextovodkaz"/>
                <w:sz w:val="22"/>
                <w:szCs w:val="22"/>
              </w:rPr>
              <w:t>Realizace opatření, priorit a postupů při prosazování rovnosti mužů a žen</w:t>
            </w:r>
            <w:r w:rsidR="00606F43" w:rsidRPr="00606F43">
              <w:rPr>
                <w:webHidden/>
                <w:sz w:val="22"/>
                <w:szCs w:val="22"/>
              </w:rPr>
              <w:tab/>
            </w:r>
            <w:r w:rsidR="00606F43" w:rsidRPr="00606F43">
              <w:rPr>
                <w:webHidden/>
                <w:sz w:val="22"/>
                <w:szCs w:val="22"/>
              </w:rPr>
              <w:fldChar w:fldCharType="begin"/>
            </w:r>
            <w:r w:rsidR="00606F43" w:rsidRPr="00606F43">
              <w:rPr>
                <w:webHidden/>
                <w:sz w:val="22"/>
                <w:szCs w:val="22"/>
              </w:rPr>
              <w:instrText xml:space="preserve"> PAGEREF _Toc431911996 \h </w:instrText>
            </w:r>
            <w:r w:rsidR="00606F43" w:rsidRPr="00606F43">
              <w:rPr>
                <w:webHidden/>
                <w:sz w:val="22"/>
                <w:szCs w:val="22"/>
              </w:rPr>
            </w:r>
            <w:r w:rsidR="00606F43" w:rsidRPr="00606F43">
              <w:rPr>
                <w:webHidden/>
                <w:sz w:val="22"/>
                <w:szCs w:val="22"/>
              </w:rPr>
              <w:fldChar w:fldCharType="separate"/>
            </w:r>
            <w:r w:rsidR="001968CD">
              <w:rPr>
                <w:webHidden/>
                <w:sz w:val="22"/>
                <w:szCs w:val="22"/>
              </w:rPr>
              <w:t>43</w:t>
            </w:r>
            <w:r w:rsidR="00606F43" w:rsidRPr="00606F43">
              <w:rPr>
                <w:webHidden/>
                <w:sz w:val="22"/>
                <w:szCs w:val="22"/>
              </w:rPr>
              <w:fldChar w:fldCharType="end"/>
            </w:r>
          </w:hyperlink>
        </w:p>
        <w:p w14:paraId="513476E9" w14:textId="77777777" w:rsidR="00606F43" w:rsidRPr="00606F43" w:rsidRDefault="00E47BE4" w:rsidP="00606F43">
          <w:pPr>
            <w:pStyle w:val="Obsah1"/>
            <w:spacing w:line="360" w:lineRule="auto"/>
            <w:rPr>
              <w:rFonts w:ascii="Times New Roman" w:eastAsiaTheme="minorEastAsia" w:hAnsi="Times New Roman"/>
              <w:sz w:val="22"/>
              <w:szCs w:val="22"/>
            </w:rPr>
          </w:pPr>
          <w:hyperlink w:anchor="_Toc431911997" w:history="1">
            <w:r w:rsidR="00606F43" w:rsidRPr="00606F43">
              <w:rPr>
                <w:rStyle w:val="Hypertextovodkaz"/>
                <w:rFonts w:ascii="Times New Roman" w:hAnsi="Times New Roman"/>
                <w:sz w:val="22"/>
                <w:szCs w:val="22"/>
              </w:rPr>
              <w:t>D. ROZVEDENÍ VÝDAJŮ VE STRUKTUŘE BLOKŮ A OKRUHŮ</w:t>
            </w:r>
            <w:r w:rsidR="00606F43" w:rsidRPr="00606F43">
              <w:rPr>
                <w:rFonts w:ascii="Times New Roman" w:hAnsi="Times New Roman"/>
                <w:webHidden/>
                <w:sz w:val="22"/>
                <w:szCs w:val="22"/>
              </w:rPr>
              <w:tab/>
            </w:r>
            <w:r w:rsidR="00606F43" w:rsidRPr="00606F43">
              <w:rPr>
                <w:rFonts w:ascii="Times New Roman" w:hAnsi="Times New Roman"/>
                <w:webHidden/>
                <w:sz w:val="22"/>
                <w:szCs w:val="22"/>
              </w:rPr>
              <w:fldChar w:fldCharType="begin"/>
            </w:r>
            <w:r w:rsidR="00606F43" w:rsidRPr="00606F43">
              <w:rPr>
                <w:rFonts w:ascii="Times New Roman" w:hAnsi="Times New Roman"/>
                <w:webHidden/>
                <w:sz w:val="22"/>
                <w:szCs w:val="22"/>
              </w:rPr>
              <w:instrText xml:space="preserve"> PAGEREF _Toc431911997 \h </w:instrText>
            </w:r>
            <w:r w:rsidR="00606F43" w:rsidRPr="00606F43">
              <w:rPr>
                <w:rFonts w:ascii="Times New Roman" w:hAnsi="Times New Roman"/>
                <w:webHidden/>
                <w:sz w:val="22"/>
                <w:szCs w:val="22"/>
              </w:rPr>
            </w:r>
            <w:r w:rsidR="00606F43" w:rsidRPr="00606F43">
              <w:rPr>
                <w:rFonts w:ascii="Times New Roman" w:hAnsi="Times New Roman"/>
                <w:webHidden/>
                <w:sz w:val="22"/>
                <w:szCs w:val="22"/>
              </w:rPr>
              <w:fldChar w:fldCharType="separate"/>
            </w:r>
            <w:r w:rsidR="001968CD">
              <w:rPr>
                <w:rFonts w:ascii="Times New Roman" w:hAnsi="Times New Roman"/>
                <w:webHidden/>
                <w:sz w:val="22"/>
                <w:szCs w:val="22"/>
              </w:rPr>
              <w:t>44</w:t>
            </w:r>
            <w:r w:rsidR="00606F43" w:rsidRPr="00606F43">
              <w:rPr>
                <w:rFonts w:ascii="Times New Roman" w:hAnsi="Times New Roman"/>
                <w:webHidden/>
                <w:sz w:val="22"/>
                <w:szCs w:val="22"/>
              </w:rPr>
              <w:fldChar w:fldCharType="end"/>
            </w:r>
          </w:hyperlink>
        </w:p>
        <w:p w14:paraId="513476EA" w14:textId="77777777" w:rsidR="00606F43" w:rsidRPr="00606F43" w:rsidRDefault="00E47BE4" w:rsidP="00606F43">
          <w:pPr>
            <w:pStyle w:val="Obsah1"/>
            <w:spacing w:line="360" w:lineRule="auto"/>
            <w:rPr>
              <w:rFonts w:ascii="Times New Roman" w:eastAsiaTheme="minorEastAsia" w:hAnsi="Times New Roman"/>
              <w:sz w:val="22"/>
              <w:szCs w:val="22"/>
            </w:rPr>
          </w:pPr>
          <w:hyperlink w:anchor="_Toc431911998" w:history="1">
            <w:r w:rsidR="00606F43" w:rsidRPr="00606F43">
              <w:rPr>
                <w:rStyle w:val="Hypertextovodkaz"/>
                <w:rFonts w:ascii="Times New Roman" w:hAnsi="Times New Roman"/>
                <w:sz w:val="22"/>
                <w:szCs w:val="22"/>
              </w:rPr>
              <w:t>E. VÝHLED PŘÍJMŮ A VÝDAJŮ NA ROKY 2017 - 2018</w:t>
            </w:r>
            <w:r w:rsidR="00606F43" w:rsidRPr="00606F43">
              <w:rPr>
                <w:rFonts w:ascii="Times New Roman" w:hAnsi="Times New Roman"/>
                <w:webHidden/>
                <w:sz w:val="22"/>
                <w:szCs w:val="22"/>
              </w:rPr>
              <w:tab/>
            </w:r>
            <w:r w:rsidR="00606F43" w:rsidRPr="00606F43">
              <w:rPr>
                <w:rFonts w:ascii="Times New Roman" w:hAnsi="Times New Roman"/>
                <w:webHidden/>
                <w:sz w:val="22"/>
                <w:szCs w:val="22"/>
              </w:rPr>
              <w:fldChar w:fldCharType="begin"/>
            </w:r>
            <w:r w:rsidR="00606F43" w:rsidRPr="00606F43">
              <w:rPr>
                <w:rFonts w:ascii="Times New Roman" w:hAnsi="Times New Roman"/>
                <w:webHidden/>
                <w:sz w:val="22"/>
                <w:szCs w:val="22"/>
              </w:rPr>
              <w:instrText xml:space="preserve"> PAGEREF _Toc431911998 \h </w:instrText>
            </w:r>
            <w:r w:rsidR="00606F43" w:rsidRPr="00606F43">
              <w:rPr>
                <w:rFonts w:ascii="Times New Roman" w:hAnsi="Times New Roman"/>
                <w:webHidden/>
                <w:sz w:val="22"/>
                <w:szCs w:val="22"/>
              </w:rPr>
            </w:r>
            <w:r w:rsidR="00606F43" w:rsidRPr="00606F43">
              <w:rPr>
                <w:rFonts w:ascii="Times New Roman" w:hAnsi="Times New Roman"/>
                <w:webHidden/>
                <w:sz w:val="22"/>
                <w:szCs w:val="22"/>
              </w:rPr>
              <w:fldChar w:fldCharType="separate"/>
            </w:r>
            <w:r w:rsidR="001968CD">
              <w:rPr>
                <w:rFonts w:ascii="Times New Roman" w:hAnsi="Times New Roman"/>
                <w:webHidden/>
                <w:sz w:val="22"/>
                <w:szCs w:val="22"/>
              </w:rPr>
              <w:t>54</w:t>
            </w:r>
            <w:r w:rsidR="00606F43" w:rsidRPr="00606F43">
              <w:rPr>
                <w:rFonts w:ascii="Times New Roman" w:hAnsi="Times New Roman"/>
                <w:webHidden/>
                <w:sz w:val="22"/>
                <w:szCs w:val="22"/>
              </w:rPr>
              <w:fldChar w:fldCharType="end"/>
            </w:r>
          </w:hyperlink>
        </w:p>
        <w:p w14:paraId="513476EB" w14:textId="77777777" w:rsidR="00606F43" w:rsidRPr="00606F43" w:rsidRDefault="00E47BE4" w:rsidP="00606F43">
          <w:pPr>
            <w:pStyle w:val="Obsah1"/>
            <w:spacing w:line="360" w:lineRule="auto"/>
            <w:rPr>
              <w:rFonts w:ascii="Times New Roman" w:eastAsiaTheme="minorEastAsia" w:hAnsi="Times New Roman"/>
              <w:sz w:val="22"/>
              <w:szCs w:val="22"/>
            </w:rPr>
          </w:pPr>
          <w:hyperlink w:anchor="_Toc431911999" w:history="1">
            <w:r w:rsidR="00606F43" w:rsidRPr="00606F43">
              <w:rPr>
                <w:rStyle w:val="Hypertextovodkaz"/>
                <w:rFonts w:ascii="Times New Roman" w:hAnsi="Times New Roman"/>
                <w:sz w:val="22"/>
                <w:szCs w:val="22"/>
              </w:rPr>
              <w:t>F. PŘÍLOHOVÁ ČÁST – seznam</w:t>
            </w:r>
            <w:r w:rsidR="00606F43" w:rsidRPr="00606F43">
              <w:rPr>
                <w:rFonts w:ascii="Times New Roman" w:hAnsi="Times New Roman"/>
                <w:webHidden/>
                <w:sz w:val="22"/>
                <w:szCs w:val="22"/>
              </w:rPr>
              <w:tab/>
            </w:r>
            <w:r w:rsidR="00606F43" w:rsidRPr="00606F43">
              <w:rPr>
                <w:rFonts w:ascii="Times New Roman" w:hAnsi="Times New Roman"/>
                <w:webHidden/>
                <w:sz w:val="22"/>
                <w:szCs w:val="22"/>
              </w:rPr>
              <w:fldChar w:fldCharType="begin"/>
            </w:r>
            <w:r w:rsidR="00606F43" w:rsidRPr="00606F43">
              <w:rPr>
                <w:rFonts w:ascii="Times New Roman" w:hAnsi="Times New Roman"/>
                <w:webHidden/>
                <w:sz w:val="22"/>
                <w:szCs w:val="22"/>
              </w:rPr>
              <w:instrText xml:space="preserve"> PAGEREF _Toc431911999 \h </w:instrText>
            </w:r>
            <w:r w:rsidR="00606F43" w:rsidRPr="00606F43">
              <w:rPr>
                <w:rFonts w:ascii="Times New Roman" w:hAnsi="Times New Roman"/>
                <w:webHidden/>
                <w:sz w:val="22"/>
                <w:szCs w:val="22"/>
              </w:rPr>
            </w:r>
            <w:r w:rsidR="00606F43" w:rsidRPr="00606F43">
              <w:rPr>
                <w:rFonts w:ascii="Times New Roman" w:hAnsi="Times New Roman"/>
                <w:webHidden/>
                <w:sz w:val="22"/>
                <w:szCs w:val="22"/>
              </w:rPr>
              <w:fldChar w:fldCharType="separate"/>
            </w:r>
            <w:r w:rsidR="001968CD">
              <w:rPr>
                <w:rFonts w:ascii="Times New Roman" w:hAnsi="Times New Roman"/>
                <w:webHidden/>
                <w:sz w:val="22"/>
                <w:szCs w:val="22"/>
              </w:rPr>
              <w:t>59</w:t>
            </w:r>
            <w:r w:rsidR="00606F43" w:rsidRPr="00606F43">
              <w:rPr>
                <w:rFonts w:ascii="Times New Roman" w:hAnsi="Times New Roman"/>
                <w:webHidden/>
                <w:sz w:val="22"/>
                <w:szCs w:val="22"/>
              </w:rPr>
              <w:fldChar w:fldCharType="end"/>
            </w:r>
          </w:hyperlink>
        </w:p>
        <w:p w14:paraId="513476EC" w14:textId="77777777" w:rsidR="001B4620" w:rsidRDefault="004B53E2" w:rsidP="0062446B">
          <w:pPr>
            <w:spacing w:before="60" w:line="360" w:lineRule="auto"/>
            <w:rPr>
              <w:rFonts w:ascii="Times New Roman" w:hAnsi="Times New Roman"/>
            </w:rPr>
          </w:pPr>
          <w:r w:rsidRPr="00606F43">
            <w:rPr>
              <w:rFonts w:ascii="Times New Roman" w:hAnsi="Times New Roman"/>
              <w:b/>
              <w:bCs/>
              <w:sz w:val="22"/>
              <w:szCs w:val="22"/>
            </w:rPr>
            <w:fldChar w:fldCharType="end"/>
          </w:r>
        </w:p>
      </w:sdtContent>
    </w:sdt>
    <w:p w14:paraId="513476ED" w14:textId="77777777" w:rsidR="00D97C78" w:rsidRDefault="00D97C78">
      <w:pPr>
        <w:spacing w:after="200"/>
        <w:jc w:val="left"/>
        <w:rPr>
          <w:rFonts w:ascii="Times New Roman" w:eastAsiaTheme="majorEastAsia" w:hAnsi="Times New Roman"/>
          <w:b/>
          <w:bCs/>
          <w:sz w:val="28"/>
          <w:szCs w:val="28"/>
          <w:lang w:eastAsia="en-US"/>
        </w:rPr>
      </w:pPr>
      <w:bookmarkStart w:id="2" w:name="_Toc431911976"/>
      <w:r>
        <w:rPr>
          <w:rFonts w:ascii="Times New Roman" w:hAnsi="Times New Roman"/>
        </w:rPr>
        <w:br w:type="page"/>
      </w:r>
    </w:p>
    <w:p w14:paraId="513476EE" w14:textId="77777777" w:rsidR="00D97C78" w:rsidRDefault="00D97C78" w:rsidP="00B260CA">
      <w:pPr>
        <w:pStyle w:val="Nadpis1"/>
        <w:rPr>
          <w:rFonts w:ascii="Times New Roman" w:hAnsi="Times New Roman" w:cs="Times New Roman"/>
          <w:color w:val="auto"/>
        </w:rPr>
      </w:pPr>
    </w:p>
    <w:p w14:paraId="513476EF" w14:textId="77777777" w:rsidR="00B260CA" w:rsidRPr="003150D7" w:rsidRDefault="00B260CA" w:rsidP="00B260CA">
      <w:pPr>
        <w:pStyle w:val="Nadpis1"/>
        <w:rPr>
          <w:rFonts w:ascii="Times New Roman" w:hAnsi="Times New Roman" w:cs="Times New Roman"/>
          <w:color w:val="auto"/>
        </w:rPr>
      </w:pPr>
      <w:r w:rsidRPr="003150D7">
        <w:rPr>
          <w:rFonts w:ascii="Times New Roman" w:hAnsi="Times New Roman" w:cs="Times New Roman"/>
          <w:color w:val="auto"/>
        </w:rPr>
        <w:t>ÚVOD</w:t>
      </w:r>
      <w:bookmarkEnd w:id="2"/>
    </w:p>
    <w:p w14:paraId="513476F0" w14:textId="77777777" w:rsidR="00605928" w:rsidRPr="00605928" w:rsidRDefault="00605928" w:rsidP="00605928">
      <w:pPr>
        <w:spacing w:line="240" w:lineRule="auto"/>
        <w:rPr>
          <w:rFonts w:ascii="Times New Roman" w:hAnsi="Times New Roman"/>
        </w:rPr>
      </w:pPr>
    </w:p>
    <w:p w14:paraId="513476F1" w14:textId="77777777" w:rsidR="00605928" w:rsidRPr="00605928" w:rsidRDefault="00605928" w:rsidP="00605928">
      <w:pPr>
        <w:spacing w:line="240" w:lineRule="auto"/>
        <w:rPr>
          <w:rFonts w:ascii="Times New Roman" w:hAnsi="Times New Roman"/>
        </w:rPr>
      </w:pPr>
      <w:r w:rsidRPr="00605928">
        <w:rPr>
          <w:rFonts w:ascii="Times New Roman" w:hAnsi="Times New Roman"/>
        </w:rPr>
        <w:t>Ministerstvo kultury je ústředním orgánem státní správy pro umění, kulturně výchovnou činnost, kulturní památky, pro věci církví a náboženských společností, pro věci tisku, včetně vydávání neperiodického tisku a jiných informačních prostředků, pro rozhlasové a televizní vysílání, pro provádění autorského zákona a pro výrobu a obchod v oblasti kultury. Ministerstvo kultury je ke dni 1. 1. 201</w:t>
      </w:r>
      <w:r w:rsidR="00D97C78">
        <w:rPr>
          <w:rFonts w:ascii="Times New Roman" w:hAnsi="Times New Roman"/>
        </w:rPr>
        <w:t>6</w:t>
      </w:r>
      <w:r w:rsidRPr="00605928">
        <w:rPr>
          <w:rFonts w:ascii="Times New Roman" w:hAnsi="Times New Roman"/>
        </w:rPr>
        <w:t xml:space="preserve"> zřizovatelem 29 příspěvkových organizací v oblasti památkové péče, muzeí a galerií, knihoven, divadel, uměleckých souborů a ostatních záležitostí kultury. Seznam příspěvkových organizací je uveden v </w:t>
      </w:r>
      <w:r w:rsidRPr="00653321">
        <w:rPr>
          <w:rFonts w:ascii="Times New Roman" w:hAnsi="Times New Roman"/>
        </w:rPr>
        <w:t>Příloze č. 4</w:t>
      </w:r>
      <w:r w:rsidRPr="00605928">
        <w:rPr>
          <w:rFonts w:ascii="Times New Roman" w:hAnsi="Times New Roman"/>
        </w:rPr>
        <w:t xml:space="preserve"> komentáře.</w:t>
      </w:r>
    </w:p>
    <w:p w14:paraId="513476F2" w14:textId="77777777" w:rsidR="00605928" w:rsidRPr="00605928" w:rsidRDefault="00605928" w:rsidP="00605928">
      <w:pPr>
        <w:spacing w:line="240" w:lineRule="auto"/>
        <w:rPr>
          <w:rFonts w:ascii="Times New Roman" w:hAnsi="Times New Roman"/>
        </w:rPr>
      </w:pPr>
    </w:p>
    <w:p w14:paraId="513476F3" w14:textId="77777777" w:rsidR="00605928" w:rsidRPr="00605928" w:rsidRDefault="00D97C78" w:rsidP="00605928">
      <w:pPr>
        <w:spacing w:line="240" w:lineRule="auto"/>
        <w:rPr>
          <w:rFonts w:ascii="Times New Roman" w:hAnsi="Times New Roman"/>
        </w:rPr>
      </w:pPr>
      <w:r>
        <w:rPr>
          <w:rFonts w:ascii="Times New Roman" w:hAnsi="Times New Roman"/>
        </w:rPr>
        <w:t xml:space="preserve">Tento schválený rozpočet na rok 2016 vychází ze zákona č. 400/2015 Sb., o státním rozpočtu České republiky na rok 2016. </w:t>
      </w:r>
      <w:r w:rsidR="00605928" w:rsidRPr="00605928">
        <w:rPr>
          <w:rFonts w:ascii="Times New Roman" w:hAnsi="Times New Roman"/>
        </w:rPr>
        <w:t xml:space="preserve">Přílohy ke komentáři rozpočtu jsou uvedeny v rozsahu vyžadovaném právními předpisy. </w:t>
      </w:r>
    </w:p>
    <w:p w14:paraId="513476F4" w14:textId="77777777" w:rsidR="006B5A30" w:rsidRPr="00605928" w:rsidRDefault="006B5A30" w:rsidP="00685B74">
      <w:pPr>
        <w:pStyle w:val="Zhlav"/>
        <w:rPr>
          <w:rFonts w:ascii="Times New Roman" w:hAnsi="Times New Roman"/>
        </w:rPr>
      </w:pPr>
    </w:p>
    <w:p w14:paraId="513476F5" w14:textId="77777777" w:rsidR="00605928" w:rsidRPr="00605928" w:rsidRDefault="00D97C78" w:rsidP="00605928">
      <w:pPr>
        <w:spacing w:line="240" w:lineRule="auto"/>
        <w:rPr>
          <w:rFonts w:ascii="Times New Roman" w:hAnsi="Times New Roman"/>
        </w:rPr>
      </w:pPr>
      <w:r>
        <w:rPr>
          <w:rFonts w:ascii="Times New Roman" w:hAnsi="Times New Roman"/>
        </w:rPr>
        <w:t xml:space="preserve">Údaje ke schválenému rozpočtu kapitoly na rok 2016 </w:t>
      </w:r>
      <w:r w:rsidRPr="00605928">
        <w:rPr>
          <w:rFonts w:ascii="Times New Roman" w:hAnsi="Times New Roman"/>
        </w:rPr>
        <w:t xml:space="preserve">byly </w:t>
      </w:r>
      <w:r w:rsidR="00605928" w:rsidRPr="00605928">
        <w:rPr>
          <w:rFonts w:ascii="Times New Roman" w:hAnsi="Times New Roman"/>
        </w:rPr>
        <w:t>zapracovány do příslušných systémů. Především jsou údaje o struktuře a rozpočtovaných finančních objemech vloženy do</w:t>
      </w:r>
      <w:r>
        <w:rPr>
          <w:rFonts w:ascii="Times New Roman" w:hAnsi="Times New Roman"/>
        </w:rPr>
        <w:t> </w:t>
      </w:r>
      <w:r w:rsidR="00605928" w:rsidRPr="00605928">
        <w:rPr>
          <w:rFonts w:ascii="Times New Roman" w:hAnsi="Times New Roman"/>
        </w:rPr>
        <w:t>Integrovaného informačního systému státní pokladny (IISSP) a Evidenčního dotačního systému/</w:t>
      </w:r>
      <w:r>
        <w:rPr>
          <w:rFonts w:ascii="Times New Roman" w:hAnsi="Times New Roman"/>
        </w:rPr>
        <w:t>S</w:t>
      </w:r>
      <w:r w:rsidR="00605928" w:rsidRPr="00605928">
        <w:rPr>
          <w:rFonts w:ascii="Times New Roman" w:hAnsi="Times New Roman"/>
        </w:rPr>
        <w:t xml:space="preserve">práva majetku </w:t>
      </w:r>
      <w:r>
        <w:rPr>
          <w:rFonts w:ascii="Times New Roman" w:hAnsi="Times New Roman"/>
        </w:rPr>
        <w:t xml:space="preserve">ve vlastnictví </w:t>
      </w:r>
      <w:r w:rsidR="00605928" w:rsidRPr="00605928">
        <w:rPr>
          <w:rFonts w:ascii="Times New Roman" w:hAnsi="Times New Roman"/>
        </w:rPr>
        <w:t xml:space="preserve">státu (EDS/SMVS). </w:t>
      </w:r>
    </w:p>
    <w:p w14:paraId="513476F6" w14:textId="77777777" w:rsidR="00310E28" w:rsidRDefault="00310E28">
      <w:pPr>
        <w:spacing w:after="200"/>
        <w:jc w:val="left"/>
        <w:rPr>
          <w:rFonts w:ascii="Times New Roman" w:hAnsi="Times New Roman"/>
        </w:rPr>
      </w:pPr>
      <w:r>
        <w:rPr>
          <w:rFonts w:ascii="Times New Roman" w:hAnsi="Times New Roman"/>
        </w:rPr>
        <w:br w:type="page"/>
      </w:r>
    </w:p>
    <w:p w14:paraId="513476F7" w14:textId="77777777" w:rsidR="007F2741" w:rsidRPr="00BF0914" w:rsidRDefault="006B5A30" w:rsidP="00BF0914">
      <w:pPr>
        <w:pStyle w:val="Nadpis1"/>
        <w:rPr>
          <w:rFonts w:ascii="Times New Roman" w:hAnsi="Times New Roman" w:cs="Times New Roman"/>
          <w:color w:val="auto"/>
        </w:rPr>
      </w:pPr>
      <w:bookmarkStart w:id="3" w:name="_Toc431911977"/>
      <w:r w:rsidRPr="00033A68">
        <w:rPr>
          <w:rFonts w:ascii="Times New Roman" w:hAnsi="Times New Roman" w:cs="Times New Roman"/>
          <w:color w:val="auto"/>
        </w:rPr>
        <w:lastRenderedPageBreak/>
        <w:t>A. PŘÍJMY</w:t>
      </w:r>
      <w:bookmarkEnd w:id="3"/>
    </w:p>
    <w:p w14:paraId="513476F8" w14:textId="77777777" w:rsidR="00CD044B" w:rsidRPr="00DC64E0" w:rsidRDefault="00944531" w:rsidP="007F2741">
      <w:pPr>
        <w:rPr>
          <w:rFonts w:ascii="Times New Roman" w:hAnsi="Times New Roman"/>
          <w:lang w:eastAsia="en-US"/>
        </w:rPr>
      </w:pPr>
      <w:r w:rsidRPr="00DC64E0">
        <w:rPr>
          <w:lang w:eastAsia="en-US"/>
        </w:rPr>
        <w:tab/>
      </w:r>
      <w:r w:rsidRPr="00DC64E0">
        <w:rPr>
          <w:lang w:eastAsia="en-US"/>
        </w:rPr>
        <w:tab/>
      </w:r>
      <w:r w:rsidRPr="00DC64E0">
        <w:rPr>
          <w:lang w:eastAsia="en-US"/>
        </w:rPr>
        <w:tab/>
      </w:r>
      <w:r w:rsidRPr="00DC64E0">
        <w:rPr>
          <w:lang w:eastAsia="en-US"/>
        </w:rPr>
        <w:tab/>
      </w:r>
      <w:r w:rsidRPr="00DC64E0">
        <w:rPr>
          <w:lang w:eastAsia="en-US"/>
        </w:rPr>
        <w:tab/>
      </w:r>
      <w:r w:rsidRPr="00DC64E0">
        <w:rPr>
          <w:lang w:eastAsia="en-US"/>
        </w:rPr>
        <w:tab/>
      </w:r>
      <w:r w:rsidRPr="00DC64E0">
        <w:rPr>
          <w:lang w:eastAsia="en-US"/>
        </w:rPr>
        <w:tab/>
      </w:r>
      <w:r w:rsidRPr="00DC64E0">
        <w:rPr>
          <w:lang w:eastAsia="en-US"/>
        </w:rPr>
        <w:tab/>
      </w:r>
      <w:r w:rsidRPr="00DC64E0">
        <w:rPr>
          <w:lang w:eastAsia="en-US"/>
        </w:rPr>
        <w:tab/>
      </w:r>
      <w:r w:rsidRPr="00DC64E0">
        <w:rPr>
          <w:lang w:eastAsia="en-US"/>
        </w:rPr>
        <w:tab/>
      </w:r>
      <w:r w:rsidRPr="00DC64E0">
        <w:rPr>
          <w:lang w:eastAsia="en-US"/>
        </w:rPr>
        <w:tab/>
      </w:r>
      <w:r w:rsidRPr="00DC64E0">
        <w:rPr>
          <w:lang w:eastAsia="en-US"/>
        </w:rPr>
        <w:tab/>
      </w:r>
      <w:r w:rsidRPr="00DC64E0">
        <w:rPr>
          <w:rFonts w:ascii="Times New Roman" w:hAnsi="Times New Roman"/>
          <w:lang w:eastAsia="en-US"/>
        </w:rPr>
        <w:t>v Kč</w:t>
      </w:r>
    </w:p>
    <w:tbl>
      <w:tblPr>
        <w:tblW w:w="9087" w:type="dxa"/>
        <w:tblInd w:w="55" w:type="dxa"/>
        <w:tblCellMar>
          <w:left w:w="70" w:type="dxa"/>
          <w:right w:w="70" w:type="dxa"/>
        </w:tblCellMar>
        <w:tblLook w:val="04A0" w:firstRow="1" w:lastRow="0" w:firstColumn="1" w:lastColumn="0" w:noHBand="0" w:noVBand="1"/>
      </w:tblPr>
      <w:tblGrid>
        <w:gridCol w:w="4440"/>
        <w:gridCol w:w="1520"/>
        <w:gridCol w:w="1680"/>
        <w:gridCol w:w="1447"/>
      </w:tblGrid>
      <w:tr w:rsidR="00DC64E0" w:rsidRPr="00DC64E0" w14:paraId="513476FE" w14:textId="77777777" w:rsidTr="00842839">
        <w:trPr>
          <w:trHeight w:val="600"/>
        </w:trPr>
        <w:tc>
          <w:tcPr>
            <w:tcW w:w="4440" w:type="dxa"/>
            <w:tcBorders>
              <w:top w:val="single" w:sz="12" w:space="0" w:color="auto"/>
              <w:left w:val="single" w:sz="12" w:space="0" w:color="auto"/>
              <w:bottom w:val="single" w:sz="12" w:space="0" w:color="000000"/>
              <w:right w:val="single" w:sz="12" w:space="0" w:color="000000"/>
            </w:tcBorders>
            <w:shd w:val="clear" w:color="auto" w:fill="auto"/>
            <w:vAlign w:val="center"/>
            <w:hideMark/>
          </w:tcPr>
          <w:p w14:paraId="513476F9" w14:textId="77777777" w:rsidR="006649AC" w:rsidRPr="00DC64E0" w:rsidRDefault="00D04C02" w:rsidP="00D04C02">
            <w:pPr>
              <w:jc w:val="center"/>
              <w:rPr>
                <w:rFonts w:ascii="Calibri" w:hAnsi="Calibri"/>
                <w:b/>
                <w:bCs/>
                <w:sz w:val="22"/>
                <w:szCs w:val="22"/>
              </w:rPr>
            </w:pPr>
            <w:r w:rsidRPr="00DC64E0">
              <w:rPr>
                <w:rFonts w:ascii="Calibri" w:hAnsi="Calibri"/>
                <w:b/>
                <w:bCs/>
                <w:sz w:val="22"/>
                <w:szCs w:val="22"/>
              </w:rPr>
              <w:t>Příjmové bloky</w:t>
            </w:r>
          </w:p>
        </w:tc>
        <w:tc>
          <w:tcPr>
            <w:tcW w:w="1520" w:type="dxa"/>
            <w:tcBorders>
              <w:top w:val="single" w:sz="12" w:space="0" w:color="auto"/>
              <w:left w:val="nil"/>
              <w:bottom w:val="single" w:sz="12" w:space="0" w:color="000000"/>
              <w:right w:val="single" w:sz="8" w:space="0" w:color="auto"/>
            </w:tcBorders>
            <w:shd w:val="clear" w:color="auto" w:fill="auto"/>
            <w:vAlign w:val="center"/>
            <w:hideMark/>
          </w:tcPr>
          <w:p w14:paraId="513476FA" w14:textId="77777777" w:rsidR="006649AC" w:rsidRPr="00DC64E0" w:rsidRDefault="006649AC">
            <w:pPr>
              <w:jc w:val="center"/>
              <w:rPr>
                <w:rFonts w:ascii="Calibri" w:hAnsi="Calibri"/>
                <w:b/>
                <w:bCs/>
                <w:sz w:val="22"/>
                <w:szCs w:val="22"/>
              </w:rPr>
            </w:pPr>
            <w:r w:rsidRPr="00DC64E0">
              <w:rPr>
                <w:rFonts w:ascii="Calibri" w:hAnsi="Calibri"/>
                <w:b/>
                <w:bCs/>
                <w:sz w:val="22"/>
                <w:szCs w:val="22"/>
              </w:rPr>
              <w:t>SR 2015</w:t>
            </w:r>
          </w:p>
        </w:tc>
        <w:tc>
          <w:tcPr>
            <w:tcW w:w="1680" w:type="dxa"/>
            <w:tcBorders>
              <w:top w:val="single" w:sz="12" w:space="0" w:color="auto"/>
              <w:left w:val="nil"/>
              <w:bottom w:val="single" w:sz="12" w:space="0" w:color="000000"/>
              <w:right w:val="single" w:sz="8" w:space="0" w:color="auto"/>
            </w:tcBorders>
            <w:shd w:val="clear" w:color="auto" w:fill="auto"/>
            <w:vAlign w:val="center"/>
            <w:hideMark/>
          </w:tcPr>
          <w:p w14:paraId="513476FB" w14:textId="77777777" w:rsidR="006649AC" w:rsidRPr="00DC64E0" w:rsidRDefault="00015522" w:rsidP="00015522">
            <w:pPr>
              <w:jc w:val="center"/>
              <w:rPr>
                <w:rFonts w:ascii="Calibri" w:hAnsi="Calibri"/>
                <w:b/>
                <w:bCs/>
                <w:sz w:val="22"/>
                <w:szCs w:val="22"/>
              </w:rPr>
            </w:pPr>
            <w:r>
              <w:rPr>
                <w:rFonts w:ascii="Calibri" w:hAnsi="Calibri"/>
                <w:b/>
                <w:bCs/>
                <w:sz w:val="22"/>
                <w:szCs w:val="22"/>
              </w:rPr>
              <w:t>S</w:t>
            </w:r>
            <w:r w:rsidR="006649AC" w:rsidRPr="00DC64E0">
              <w:rPr>
                <w:rFonts w:ascii="Calibri" w:hAnsi="Calibri"/>
                <w:b/>
                <w:bCs/>
                <w:sz w:val="22"/>
                <w:szCs w:val="22"/>
              </w:rPr>
              <w:t>R 2016</w:t>
            </w:r>
          </w:p>
        </w:tc>
        <w:tc>
          <w:tcPr>
            <w:tcW w:w="1447" w:type="dxa"/>
            <w:tcBorders>
              <w:top w:val="single" w:sz="12" w:space="0" w:color="auto"/>
              <w:left w:val="nil"/>
              <w:bottom w:val="single" w:sz="12" w:space="0" w:color="auto"/>
              <w:right w:val="single" w:sz="12" w:space="0" w:color="auto"/>
            </w:tcBorders>
            <w:shd w:val="clear" w:color="auto" w:fill="auto"/>
            <w:vAlign w:val="center"/>
            <w:hideMark/>
          </w:tcPr>
          <w:p w14:paraId="513476FC" w14:textId="77777777" w:rsidR="00AB0E9E" w:rsidRPr="00DC64E0" w:rsidRDefault="006649AC">
            <w:pPr>
              <w:jc w:val="center"/>
              <w:rPr>
                <w:rFonts w:ascii="Calibri" w:hAnsi="Calibri"/>
                <w:b/>
                <w:bCs/>
                <w:sz w:val="22"/>
                <w:szCs w:val="22"/>
              </w:rPr>
            </w:pPr>
            <w:r w:rsidRPr="00DC64E0">
              <w:rPr>
                <w:rFonts w:ascii="Calibri" w:hAnsi="Calibri"/>
                <w:b/>
                <w:bCs/>
                <w:sz w:val="22"/>
                <w:szCs w:val="22"/>
              </w:rPr>
              <w:t xml:space="preserve"> Rozdíl</w:t>
            </w:r>
          </w:p>
          <w:p w14:paraId="513476FD" w14:textId="77777777" w:rsidR="006649AC" w:rsidRPr="00DC64E0" w:rsidRDefault="00015522" w:rsidP="00015522">
            <w:pPr>
              <w:jc w:val="center"/>
              <w:rPr>
                <w:rFonts w:ascii="Calibri" w:hAnsi="Calibri"/>
                <w:b/>
                <w:bCs/>
                <w:sz w:val="22"/>
                <w:szCs w:val="22"/>
              </w:rPr>
            </w:pPr>
            <w:r>
              <w:rPr>
                <w:rFonts w:ascii="Calibri" w:hAnsi="Calibri"/>
                <w:b/>
                <w:bCs/>
                <w:sz w:val="22"/>
                <w:szCs w:val="22"/>
              </w:rPr>
              <w:t>S</w:t>
            </w:r>
            <w:r w:rsidR="006649AC" w:rsidRPr="00DC64E0">
              <w:rPr>
                <w:rFonts w:ascii="Calibri" w:hAnsi="Calibri"/>
                <w:b/>
                <w:bCs/>
                <w:sz w:val="22"/>
                <w:szCs w:val="22"/>
              </w:rPr>
              <w:t>R 16 -SR 15</w:t>
            </w:r>
          </w:p>
        </w:tc>
      </w:tr>
      <w:tr w:rsidR="00DC64E0" w:rsidRPr="00DC64E0" w14:paraId="51347703" w14:textId="77777777" w:rsidTr="00842839">
        <w:trPr>
          <w:trHeight w:val="312"/>
        </w:trPr>
        <w:tc>
          <w:tcPr>
            <w:tcW w:w="4440" w:type="dxa"/>
            <w:tcBorders>
              <w:top w:val="single" w:sz="12" w:space="0" w:color="000000"/>
              <w:left w:val="single" w:sz="12" w:space="0" w:color="auto"/>
              <w:bottom w:val="single" w:sz="12" w:space="0" w:color="auto"/>
              <w:right w:val="single" w:sz="12" w:space="0" w:color="000000"/>
            </w:tcBorders>
            <w:shd w:val="clear" w:color="auto" w:fill="auto"/>
            <w:vAlign w:val="center"/>
            <w:hideMark/>
          </w:tcPr>
          <w:p w14:paraId="513476FF" w14:textId="77777777" w:rsidR="006649AC" w:rsidRPr="00DC64E0" w:rsidRDefault="006649AC">
            <w:pPr>
              <w:rPr>
                <w:rFonts w:ascii="Calibri" w:hAnsi="Calibri"/>
                <w:b/>
                <w:bCs/>
                <w:sz w:val="22"/>
                <w:szCs w:val="22"/>
              </w:rPr>
            </w:pPr>
            <w:r w:rsidRPr="00DC64E0">
              <w:rPr>
                <w:rFonts w:ascii="Calibri" w:hAnsi="Calibri"/>
                <w:b/>
                <w:bCs/>
                <w:sz w:val="22"/>
                <w:szCs w:val="22"/>
              </w:rPr>
              <w:t>Příjmy celkem</w:t>
            </w:r>
          </w:p>
        </w:tc>
        <w:tc>
          <w:tcPr>
            <w:tcW w:w="1520" w:type="dxa"/>
            <w:tcBorders>
              <w:top w:val="nil"/>
              <w:left w:val="nil"/>
              <w:bottom w:val="single" w:sz="12" w:space="0" w:color="auto"/>
              <w:right w:val="single" w:sz="8" w:space="0" w:color="auto"/>
            </w:tcBorders>
            <w:shd w:val="clear" w:color="auto" w:fill="auto"/>
            <w:vAlign w:val="center"/>
            <w:hideMark/>
          </w:tcPr>
          <w:p w14:paraId="51347700" w14:textId="77777777" w:rsidR="006649AC" w:rsidRPr="00DC64E0" w:rsidRDefault="006649AC">
            <w:pPr>
              <w:jc w:val="right"/>
              <w:rPr>
                <w:rFonts w:ascii="Calibri" w:hAnsi="Calibri"/>
                <w:b/>
                <w:bCs/>
                <w:sz w:val="22"/>
                <w:szCs w:val="22"/>
              </w:rPr>
            </w:pPr>
            <w:r w:rsidRPr="00DC64E0">
              <w:rPr>
                <w:rFonts w:ascii="Calibri" w:hAnsi="Calibri"/>
                <w:b/>
                <w:bCs/>
                <w:sz w:val="22"/>
                <w:szCs w:val="22"/>
              </w:rPr>
              <w:t>264 701 000</w:t>
            </w:r>
          </w:p>
        </w:tc>
        <w:tc>
          <w:tcPr>
            <w:tcW w:w="1680" w:type="dxa"/>
            <w:tcBorders>
              <w:top w:val="nil"/>
              <w:left w:val="nil"/>
              <w:bottom w:val="single" w:sz="12" w:space="0" w:color="auto"/>
              <w:right w:val="single" w:sz="8" w:space="0" w:color="auto"/>
            </w:tcBorders>
            <w:shd w:val="clear" w:color="auto" w:fill="auto"/>
            <w:vAlign w:val="center"/>
            <w:hideMark/>
          </w:tcPr>
          <w:p w14:paraId="51347701" w14:textId="77777777" w:rsidR="006649AC" w:rsidRPr="00DC64E0" w:rsidRDefault="006649AC">
            <w:pPr>
              <w:jc w:val="right"/>
              <w:rPr>
                <w:rFonts w:ascii="Calibri" w:hAnsi="Calibri"/>
                <w:b/>
                <w:bCs/>
                <w:sz w:val="22"/>
                <w:szCs w:val="22"/>
              </w:rPr>
            </w:pPr>
            <w:r w:rsidRPr="00DC64E0">
              <w:rPr>
                <w:rFonts w:ascii="Calibri" w:hAnsi="Calibri"/>
                <w:b/>
                <w:bCs/>
                <w:sz w:val="22"/>
                <w:szCs w:val="22"/>
              </w:rPr>
              <w:t>157 195 000</w:t>
            </w:r>
          </w:p>
        </w:tc>
        <w:tc>
          <w:tcPr>
            <w:tcW w:w="1447" w:type="dxa"/>
            <w:tcBorders>
              <w:top w:val="nil"/>
              <w:left w:val="nil"/>
              <w:bottom w:val="single" w:sz="12" w:space="0" w:color="auto"/>
              <w:right w:val="single" w:sz="12" w:space="0" w:color="auto"/>
            </w:tcBorders>
            <w:shd w:val="clear" w:color="auto" w:fill="auto"/>
            <w:vAlign w:val="center"/>
            <w:hideMark/>
          </w:tcPr>
          <w:p w14:paraId="51347702" w14:textId="77777777" w:rsidR="006649AC" w:rsidRPr="00DC64E0" w:rsidRDefault="006649AC">
            <w:pPr>
              <w:jc w:val="right"/>
              <w:rPr>
                <w:rFonts w:ascii="Calibri" w:hAnsi="Calibri"/>
                <w:b/>
                <w:bCs/>
                <w:sz w:val="22"/>
                <w:szCs w:val="22"/>
              </w:rPr>
            </w:pPr>
            <w:r w:rsidRPr="00DC64E0">
              <w:rPr>
                <w:rFonts w:ascii="Calibri" w:hAnsi="Calibri"/>
                <w:b/>
                <w:bCs/>
                <w:sz w:val="22"/>
                <w:szCs w:val="22"/>
              </w:rPr>
              <w:t>-107 506 000</w:t>
            </w:r>
          </w:p>
        </w:tc>
      </w:tr>
      <w:tr w:rsidR="00DC64E0" w:rsidRPr="00DC64E0" w14:paraId="51347708" w14:textId="77777777" w:rsidTr="00842839">
        <w:trPr>
          <w:trHeight w:val="312"/>
        </w:trPr>
        <w:tc>
          <w:tcPr>
            <w:tcW w:w="4440" w:type="dxa"/>
            <w:tcBorders>
              <w:top w:val="single" w:sz="12" w:space="0" w:color="auto"/>
              <w:left w:val="single" w:sz="12" w:space="0" w:color="auto"/>
              <w:bottom w:val="single" w:sz="8" w:space="0" w:color="auto"/>
              <w:right w:val="single" w:sz="12" w:space="0" w:color="000000"/>
            </w:tcBorders>
            <w:shd w:val="clear" w:color="auto" w:fill="auto"/>
            <w:vAlign w:val="center"/>
            <w:hideMark/>
          </w:tcPr>
          <w:p w14:paraId="51347704" w14:textId="77777777" w:rsidR="006649AC" w:rsidRPr="00DC64E0" w:rsidRDefault="006649AC">
            <w:pPr>
              <w:rPr>
                <w:rFonts w:ascii="Calibri" w:hAnsi="Calibri"/>
                <w:sz w:val="22"/>
                <w:szCs w:val="22"/>
              </w:rPr>
            </w:pPr>
            <w:r w:rsidRPr="00DC64E0">
              <w:rPr>
                <w:rFonts w:ascii="Calibri" w:hAnsi="Calibri"/>
                <w:sz w:val="22"/>
                <w:szCs w:val="22"/>
              </w:rPr>
              <w:t>Daňové příjmy</w:t>
            </w:r>
          </w:p>
        </w:tc>
        <w:tc>
          <w:tcPr>
            <w:tcW w:w="1520" w:type="dxa"/>
            <w:tcBorders>
              <w:top w:val="nil"/>
              <w:left w:val="nil"/>
              <w:bottom w:val="single" w:sz="8" w:space="0" w:color="auto"/>
              <w:right w:val="single" w:sz="8" w:space="0" w:color="auto"/>
            </w:tcBorders>
            <w:shd w:val="clear" w:color="auto" w:fill="auto"/>
            <w:vAlign w:val="center"/>
            <w:hideMark/>
          </w:tcPr>
          <w:p w14:paraId="51347705" w14:textId="77777777" w:rsidR="006649AC" w:rsidRPr="00DC64E0" w:rsidRDefault="006649AC">
            <w:pPr>
              <w:jc w:val="right"/>
              <w:rPr>
                <w:rFonts w:ascii="Calibri" w:hAnsi="Calibri"/>
                <w:sz w:val="22"/>
                <w:szCs w:val="22"/>
              </w:rPr>
            </w:pPr>
            <w:r w:rsidRPr="00DC64E0">
              <w:rPr>
                <w:rFonts w:ascii="Calibri" w:hAnsi="Calibri"/>
                <w:sz w:val="22"/>
                <w:szCs w:val="22"/>
              </w:rPr>
              <w:t>10 000</w:t>
            </w:r>
          </w:p>
        </w:tc>
        <w:tc>
          <w:tcPr>
            <w:tcW w:w="1680" w:type="dxa"/>
            <w:tcBorders>
              <w:top w:val="nil"/>
              <w:left w:val="nil"/>
              <w:bottom w:val="single" w:sz="8" w:space="0" w:color="auto"/>
              <w:right w:val="single" w:sz="8" w:space="0" w:color="auto"/>
            </w:tcBorders>
            <w:shd w:val="clear" w:color="auto" w:fill="auto"/>
            <w:vAlign w:val="center"/>
            <w:hideMark/>
          </w:tcPr>
          <w:p w14:paraId="51347706" w14:textId="77777777" w:rsidR="006649AC" w:rsidRPr="00DC64E0" w:rsidRDefault="006649AC">
            <w:pPr>
              <w:jc w:val="right"/>
              <w:rPr>
                <w:rFonts w:ascii="Calibri" w:hAnsi="Calibri"/>
                <w:sz w:val="22"/>
                <w:szCs w:val="22"/>
              </w:rPr>
            </w:pPr>
            <w:r w:rsidRPr="00DC64E0">
              <w:rPr>
                <w:rFonts w:ascii="Calibri" w:hAnsi="Calibri"/>
                <w:sz w:val="22"/>
                <w:szCs w:val="22"/>
              </w:rPr>
              <w:t>10 000</w:t>
            </w:r>
          </w:p>
        </w:tc>
        <w:tc>
          <w:tcPr>
            <w:tcW w:w="1447" w:type="dxa"/>
            <w:tcBorders>
              <w:top w:val="nil"/>
              <w:left w:val="nil"/>
              <w:bottom w:val="single" w:sz="8" w:space="0" w:color="auto"/>
              <w:right w:val="single" w:sz="12" w:space="0" w:color="auto"/>
            </w:tcBorders>
            <w:shd w:val="clear" w:color="auto" w:fill="auto"/>
            <w:vAlign w:val="center"/>
            <w:hideMark/>
          </w:tcPr>
          <w:p w14:paraId="51347707" w14:textId="77777777" w:rsidR="006649AC" w:rsidRPr="00DC64E0" w:rsidRDefault="006649AC">
            <w:pPr>
              <w:jc w:val="right"/>
              <w:rPr>
                <w:rFonts w:ascii="Calibri" w:hAnsi="Calibri"/>
                <w:sz w:val="22"/>
                <w:szCs w:val="22"/>
              </w:rPr>
            </w:pPr>
            <w:r w:rsidRPr="00DC64E0">
              <w:rPr>
                <w:rFonts w:ascii="Calibri" w:hAnsi="Calibri"/>
                <w:sz w:val="22"/>
                <w:szCs w:val="22"/>
              </w:rPr>
              <w:t>0</w:t>
            </w:r>
          </w:p>
        </w:tc>
      </w:tr>
      <w:tr w:rsidR="006649AC" w:rsidRPr="00DC64E0" w14:paraId="5134770D" w14:textId="77777777" w:rsidTr="00842839">
        <w:trPr>
          <w:trHeight w:val="564"/>
        </w:trPr>
        <w:tc>
          <w:tcPr>
            <w:tcW w:w="4440" w:type="dxa"/>
            <w:tcBorders>
              <w:top w:val="nil"/>
              <w:left w:val="single" w:sz="12" w:space="0" w:color="auto"/>
              <w:bottom w:val="single" w:sz="12" w:space="0" w:color="auto"/>
              <w:right w:val="single" w:sz="12" w:space="0" w:color="000000"/>
            </w:tcBorders>
            <w:shd w:val="clear" w:color="auto" w:fill="auto"/>
            <w:vAlign w:val="center"/>
            <w:hideMark/>
          </w:tcPr>
          <w:p w14:paraId="51347709" w14:textId="77777777" w:rsidR="006649AC" w:rsidRPr="00DC64E0" w:rsidRDefault="006649AC">
            <w:pPr>
              <w:rPr>
                <w:rFonts w:ascii="Calibri" w:hAnsi="Calibri"/>
                <w:sz w:val="22"/>
                <w:szCs w:val="22"/>
              </w:rPr>
            </w:pPr>
            <w:r w:rsidRPr="00DC64E0">
              <w:rPr>
                <w:rFonts w:ascii="Calibri" w:hAnsi="Calibri"/>
                <w:sz w:val="22"/>
                <w:szCs w:val="22"/>
              </w:rPr>
              <w:t>Nedaňové příjmy, kapitálové příjmy a přijaté transfery celkem</w:t>
            </w:r>
          </w:p>
        </w:tc>
        <w:tc>
          <w:tcPr>
            <w:tcW w:w="1520" w:type="dxa"/>
            <w:tcBorders>
              <w:top w:val="nil"/>
              <w:left w:val="nil"/>
              <w:bottom w:val="single" w:sz="12" w:space="0" w:color="auto"/>
              <w:right w:val="single" w:sz="8" w:space="0" w:color="auto"/>
            </w:tcBorders>
            <w:shd w:val="clear" w:color="auto" w:fill="auto"/>
            <w:vAlign w:val="center"/>
            <w:hideMark/>
          </w:tcPr>
          <w:p w14:paraId="5134770A" w14:textId="77777777" w:rsidR="006649AC" w:rsidRPr="00DC64E0" w:rsidRDefault="006649AC">
            <w:pPr>
              <w:jc w:val="right"/>
              <w:rPr>
                <w:rFonts w:ascii="Calibri" w:hAnsi="Calibri"/>
                <w:sz w:val="22"/>
                <w:szCs w:val="22"/>
              </w:rPr>
            </w:pPr>
            <w:r w:rsidRPr="00DC64E0">
              <w:rPr>
                <w:rFonts w:ascii="Calibri" w:hAnsi="Calibri"/>
                <w:sz w:val="22"/>
                <w:szCs w:val="22"/>
              </w:rPr>
              <w:t>264 691 000</w:t>
            </w:r>
          </w:p>
        </w:tc>
        <w:tc>
          <w:tcPr>
            <w:tcW w:w="1680" w:type="dxa"/>
            <w:tcBorders>
              <w:top w:val="nil"/>
              <w:left w:val="nil"/>
              <w:bottom w:val="single" w:sz="12" w:space="0" w:color="auto"/>
              <w:right w:val="single" w:sz="8" w:space="0" w:color="auto"/>
            </w:tcBorders>
            <w:shd w:val="clear" w:color="auto" w:fill="auto"/>
            <w:vAlign w:val="center"/>
            <w:hideMark/>
          </w:tcPr>
          <w:p w14:paraId="5134770B" w14:textId="77777777" w:rsidR="006649AC" w:rsidRPr="00DC64E0" w:rsidRDefault="006649AC">
            <w:pPr>
              <w:jc w:val="right"/>
              <w:rPr>
                <w:rFonts w:ascii="Calibri" w:hAnsi="Calibri"/>
                <w:sz w:val="22"/>
                <w:szCs w:val="22"/>
              </w:rPr>
            </w:pPr>
            <w:r w:rsidRPr="00DC64E0">
              <w:rPr>
                <w:rFonts w:ascii="Calibri" w:hAnsi="Calibri"/>
                <w:sz w:val="22"/>
                <w:szCs w:val="22"/>
              </w:rPr>
              <w:t>157 185 000</w:t>
            </w:r>
          </w:p>
        </w:tc>
        <w:tc>
          <w:tcPr>
            <w:tcW w:w="1447" w:type="dxa"/>
            <w:tcBorders>
              <w:top w:val="nil"/>
              <w:left w:val="nil"/>
              <w:bottom w:val="single" w:sz="12" w:space="0" w:color="auto"/>
              <w:right w:val="single" w:sz="12" w:space="0" w:color="auto"/>
            </w:tcBorders>
            <w:shd w:val="clear" w:color="auto" w:fill="auto"/>
            <w:vAlign w:val="center"/>
            <w:hideMark/>
          </w:tcPr>
          <w:p w14:paraId="5134770C" w14:textId="77777777" w:rsidR="006649AC" w:rsidRPr="00DC64E0" w:rsidRDefault="006649AC">
            <w:pPr>
              <w:jc w:val="right"/>
              <w:rPr>
                <w:rFonts w:ascii="Calibri" w:hAnsi="Calibri"/>
                <w:sz w:val="22"/>
                <w:szCs w:val="22"/>
              </w:rPr>
            </w:pPr>
            <w:r w:rsidRPr="00DC64E0">
              <w:rPr>
                <w:rFonts w:ascii="Calibri" w:hAnsi="Calibri"/>
                <w:sz w:val="22"/>
                <w:szCs w:val="22"/>
              </w:rPr>
              <w:t>-107 506 000</w:t>
            </w:r>
          </w:p>
        </w:tc>
      </w:tr>
    </w:tbl>
    <w:p w14:paraId="5134770E" w14:textId="77777777" w:rsidR="00F86015" w:rsidRDefault="00F86015" w:rsidP="00C74263">
      <w:pPr>
        <w:pStyle w:val="Zhlav"/>
        <w:spacing w:before="120"/>
        <w:rPr>
          <w:rFonts w:ascii="Times New Roman" w:hAnsi="Times New Roman"/>
        </w:rPr>
      </w:pPr>
    </w:p>
    <w:p w14:paraId="5134770F" w14:textId="77777777" w:rsidR="00C74263" w:rsidRPr="00C74263" w:rsidRDefault="007F2741" w:rsidP="00C74263">
      <w:pPr>
        <w:pStyle w:val="Zhlav"/>
        <w:spacing w:before="120"/>
        <w:rPr>
          <w:rFonts w:ascii="Times New Roman" w:hAnsi="Times New Roman"/>
        </w:rPr>
      </w:pPr>
      <w:r w:rsidRPr="00C74263">
        <w:rPr>
          <w:rFonts w:ascii="Times New Roman" w:hAnsi="Times New Roman"/>
        </w:rPr>
        <w:t>Rozpočet daňových příjmů na rok 2016 ve výši 10 tis. Kč je na stejné úrovni jako v roce 2015. V </w:t>
      </w:r>
      <w:r w:rsidR="00C74263" w:rsidRPr="00C74263">
        <w:rPr>
          <w:rFonts w:ascii="Times New Roman" w:hAnsi="Times New Roman"/>
        </w:rPr>
        <w:t>bloku</w:t>
      </w:r>
      <w:r w:rsidRPr="00C74263">
        <w:rPr>
          <w:rFonts w:ascii="Times New Roman" w:hAnsi="Times New Roman"/>
        </w:rPr>
        <w:t xml:space="preserve"> </w:t>
      </w:r>
      <w:r w:rsidR="00C274AB" w:rsidRPr="00C74263">
        <w:rPr>
          <w:rFonts w:ascii="Times New Roman" w:hAnsi="Times New Roman"/>
        </w:rPr>
        <w:t>N</w:t>
      </w:r>
      <w:r w:rsidRPr="00C74263">
        <w:rPr>
          <w:rFonts w:ascii="Times New Roman" w:hAnsi="Times New Roman"/>
        </w:rPr>
        <w:t>edaňové příjmy, kapitálové příjmy a přijaté transfery celkem</w:t>
      </w:r>
      <w:r w:rsidR="00D813B2" w:rsidRPr="00C74263">
        <w:rPr>
          <w:rFonts w:ascii="Times New Roman" w:hAnsi="Times New Roman"/>
        </w:rPr>
        <w:t xml:space="preserve"> je rozpočtováno 157 tis. Kč, což je</w:t>
      </w:r>
      <w:r w:rsidR="00C74263" w:rsidRPr="00C74263">
        <w:rPr>
          <w:rFonts w:ascii="Times New Roman" w:hAnsi="Times New Roman"/>
        </w:rPr>
        <w:t xml:space="preserve"> </w:t>
      </w:r>
      <w:r w:rsidR="00D813B2" w:rsidRPr="00C74263">
        <w:rPr>
          <w:rFonts w:ascii="Times New Roman" w:hAnsi="Times New Roman"/>
        </w:rPr>
        <w:t>o cca</w:t>
      </w:r>
      <w:r w:rsidR="00C74263" w:rsidRPr="00C74263">
        <w:rPr>
          <w:rFonts w:ascii="Times New Roman" w:hAnsi="Times New Roman"/>
        </w:rPr>
        <w:t xml:space="preserve"> 108 mil. Kč nižší částka než v minulém roce. Pokles je způsoben především tím, že pro rok 2016 nejsou zapojeny příjmy z prostředků finančních mechanismů.</w:t>
      </w:r>
      <w:r w:rsidR="00D813B2" w:rsidRPr="00C74263">
        <w:rPr>
          <w:rFonts w:ascii="Times New Roman" w:hAnsi="Times New Roman"/>
        </w:rPr>
        <w:t xml:space="preserve"> </w:t>
      </w:r>
      <w:r w:rsidR="00C74263" w:rsidRPr="00C74263">
        <w:rPr>
          <w:rFonts w:ascii="Times New Roman" w:hAnsi="Times New Roman"/>
        </w:rPr>
        <w:t>Kromě příjmů z úroků ve výši 9 tis. Kč a sankčních plateb přijatých od jiných subjektů ve výši 2 tis. Kč jsou rozpočtovány především příjmy za oblast příspěvkových organizací ve výši 157 174 tis. Kč (viz bod A.</w:t>
      </w:r>
      <w:r w:rsidR="00FA2736">
        <w:rPr>
          <w:rFonts w:ascii="Times New Roman" w:hAnsi="Times New Roman"/>
        </w:rPr>
        <w:t xml:space="preserve"> </w:t>
      </w:r>
      <w:r w:rsidR="00C74263" w:rsidRPr="00C74263">
        <w:rPr>
          <w:rFonts w:ascii="Times New Roman" w:hAnsi="Times New Roman"/>
        </w:rPr>
        <w:t>II.</w:t>
      </w:r>
      <w:r w:rsidR="00896DA2">
        <w:rPr>
          <w:rFonts w:ascii="Times New Roman" w:hAnsi="Times New Roman"/>
        </w:rPr>
        <w:t xml:space="preserve"> </w:t>
      </w:r>
      <w:r w:rsidR="00C74263" w:rsidRPr="00C74263">
        <w:rPr>
          <w:rFonts w:ascii="Times New Roman" w:hAnsi="Times New Roman"/>
        </w:rPr>
        <w:t xml:space="preserve">c). </w:t>
      </w:r>
    </w:p>
    <w:p w14:paraId="51347710" w14:textId="77777777" w:rsidR="00BF0914" w:rsidRPr="00060EF8" w:rsidRDefault="00BF0914" w:rsidP="00685B74">
      <w:pPr>
        <w:spacing w:line="240" w:lineRule="auto"/>
        <w:rPr>
          <w:rFonts w:ascii="Times New Roman" w:hAnsi="Times New Roman"/>
        </w:rPr>
      </w:pPr>
    </w:p>
    <w:p w14:paraId="51347711" w14:textId="77777777" w:rsidR="006B5A30" w:rsidRPr="004B53E2" w:rsidRDefault="006B5A30" w:rsidP="004B53E2">
      <w:pPr>
        <w:pStyle w:val="Nadpis2"/>
      </w:pPr>
      <w:bookmarkStart w:id="4" w:name="_Toc431911978"/>
      <w:r w:rsidRPr="004B53E2">
        <w:t>A. I. Daňové příjmy</w:t>
      </w:r>
      <w:bookmarkEnd w:id="4"/>
    </w:p>
    <w:p w14:paraId="51347712" w14:textId="77777777" w:rsidR="001B0D66" w:rsidRPr="00D813B2" w:rsidRDefault="001B0D66" w:rsidP="001B0D66">
      <w:pPr>
        <w:rPr>
          <w:rFonts w:ascii="Times New Roman" w:hAnsi="Times New Roman"/>
        </w:rPr>
      </w:pPr>
      <w:r w:rsidRPr="00D813B2">
        <w:tab/>
      </w:r>
      <w:r w:rsidRPr="00D813B2">
        <w:tab/>
      </w:r>
      <w:r w:rsidRPr="00D813B2">
        <w:tab/>
      </w:r>
      <w:r w:rsidRPr="00D813B2">
        <w:tab/>
      </w:r>
      <w:r w:rsidRPr="00D813B2">
        <w:tab/>
      </w:r>
      <w:r w:rsidRPr="00D813B2">
        <w:tab/>
      </w:r>
      <w:r w:rsidRPr="00D813B2">
        <w:tab/>
      </w:r>
      <w:r w:rsidRPr="00D813B2">
        <w:tab/>
      </w:r>
      <w:r w:rsidRPr="00D813B2">
        <w:tab/>
      </w:r>
      <w:r w:rsidRPr="00D813B2">
        <w:tab/>
      </w:r>
      <w:r w:rsidRPr="00D813B2">
        <w:tab/>
      </w:r>
      <w:r w:rsidR="00685B74" w:rsidRPr="00D813B2">
        <w:tab/>
      </w:r>
      <w:r w:rsidRPr="00D813B2">
        <w:rPr>
          <w:rFonts w:ascii="Times New Roman" w:hAnsi="Times New Roman"/>
        </w:rPr>
        <w:t>v Kč</w:t>
      </w:r>
    </w:p>
    <w:tbl>
      <w:tblPr>
        <w:tblW w:w="9087" w:type="dxa"/>
        <w:tblInd w:w="55" w:type="dxa"/>
        <w:tblCellMar>
          <w:left w:w="70" w:type="dxa"/>
          <w:right w:w="70" w:type="dxa"/>
        </w:tblCellMar>
        <w:tblLook w:val="04A0" w:firstRow="1" w:lastRow="0" w:firstColumn="1" w:lastColumn="0" w:noHBand="0" w:noVBand="1"/>
      </w:tblPr>
      <w:tblGrid>
        <w:gridCol w:w="4440"/>
        <w:gridCol w:w="1520"/>
        <w:gridCol w:w="1680"/>
        <w:gridCol w:w="1447"/>
      </w:tblGrid>
      <w:tr w:rsidR="00015522" w:rsidRPr="00D813B2" w14:paraId="51347718" w14:textId="77777777" w:rsidTr="001B0D66">
        <w:trPr>
          <w:trHeight w:val="600"/>
        </w:trPr>
        <w:tc>
          <w:tcPr>
            <w:tcW w:w="4440" w:type="dxa"/>
            <w:tcBorders>
              <w:top w:val="single" w:sz="12" w:space="0" w:color="auto"/>
              <w:left w:val="single" w:sz="12" w:space="0" w:color="auto"/>
              <w:bottom w:val="single" w:sz="12" w:space="0" w:color="000000"/>
              <w:right w:val="single" w:sz="12" w:space="0" w:color="000000"/>
            </w:tcBorders>
            <w:shd w:val="clear" w:color="auto" w:fill="auto"/>
            <w:vAlign w:val="center"/>
            <w:hideMark/>
          </w:tcPr>
          <w:p w14:paraId="51347713" w14:textId="77777777" w:rsidR="00015522" w:rsidRPr="00D813B2" w:rsidRDefault="00015522" w:rsidP="001B0D66">
            <w:pPr>
              <w:spacing w:line="240" w:lineRule="auto"/>
              <w:jc w:val="center"/>
              <w:rPr>
                <w:rFonts w:ascii="Calibri" w:hAnsi="Calibri"/>
                <w:b/>
                <w:bCs/>
                <w:sz w:val="22"/>
                <w:szCs w:val="22"/>
              </w:rPr>
            </w:pPr>
            <w:r w:rsidRPr="00D813B2">
              <w:rPr>
                <w:rFonts w:ascii="Calibri" w:hAnsi="Calibri"/>
                <w:b/>
                <w:bCs/>
                <w:sz w:val="22"/>
                <w:szCs w:val="22"/>
              </w:rPr>
              <w:t>Příjmový blok/okruh</w:t>
            </w:r>
          </w:p>
        </w:tc>
        <w:tc>
          <w:tcPr>
            <w:tcW w:w="1520" w:type="dxa"/>
            <w:tcBorders>
              <w:top w:val="single" w:sz="12" w:space="0" w:color="auto"/>
              <w:left w:val="nil"/>
              <w:bottom w:val="single" w:sz="12" w:space="0" w:color="000000"/>
              <w:right w:val="single" w:sz="8" w:space="0" w:color="auto"/>
            </w:tcBorders>
            <w:shd w:val="clear" w:color="auto" w:fill="auto"/>
            <w:vAlign w:val="center"/>
            <w:hideMark/>
          </w:tcPr>
          <w:p w14:paraId="51347714"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SR 2015</w:t>
            </w:r>
          </w:p>
        </w:tc>
        <w:tc>
          <w:tcPr>
            <w:tcW w:w="1680" w:type="dxa"/>
            <w:tcBorders>
              <w:top w:val="single" w:sz="12" w:space="0" w:color="auto"/>
              <w:left w:val="nil"/>
              <w:bottom w:val="single" w:sz="12" w:space="0" w:color="000000"/>
              <w:right w:val="single" w:sz="8" w:space="0" w:color="auto"/>
            </w:tcBorders>
            <w:shd w:val="clear" w:color="auto" w:fill="auto"/>
            <w:vAlign w:val="center"/>
            <w:hideMark/>
          </w:tcPr>
          <w:p w14:paraId="51347715"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2016</w:t>
            </w:r>
          </w:p>
        </w:tc>
        <w:tc>
          <w:tcPr>
            <w:tcW w:w="1447" w:type="dxa"/>
            <w:tcBorders>
              <w:top w:val="single" w:sz="12" w:space="0" w:color="auto"/>
              <w:left w:val="nil"/>
              <w:bottom w:val="single" w:sz="12" w:space="0" w:color="auto"/>
              <w:right w:val="single" w:sz="12" w:space="0" w:color="auto"/>
            </w:tcBorders>
            <w:shd w:val="clear" w:color="auto" w:fill="auto"/>
            <w:vAlign w:val="center"/>
            <w:hideMark/>
          </w:tcPr>
          <w:p w14:paraId="51347716"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 xml:space="preserve"> Rozdíl</w:t>
            </w:r>
          </w:p>
          <w:p w14:paraId="51347717"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16 -SR 15</w:t>
            </w:r>
          </w:p>
        </w:tc>
      </w:tr>
      <w:tr w:rsidR="006649AC" w:rsidRPr="00D813B2" w14:paraId="5134771D" w14:textId="77777777" w:rsidTr="001B0D66">
        <w:trPr>
          <w:trHeight w:val="312"/>
        </w:trPr>
        <w:tc>
          <w:tcPr>
            <w:tcW w:w="4440" w:type="dxa"/>
            <w:tcBorders>
              <w:top w:val="single" w:sz="12" w:space="0" w:color="000000"/>
              <w:left w:val="single" w:sz="12" w:space="0" w:color="auto"/>
              <w:bottom w:val="single" w:sz="12" w:space="0" w:color="auto"/>
              <w:right w:val="single" w:sz="12" w:space="0" w:color="000000"/>
            </w:tcBorders>
            <w:shd w:val="clear" w:color="auto" w:fill="auto"/>
            <w:vAlign w:val="center"/>
            <w:hideMark/>
          </w:tcPr>
          <w:p w14:paraId="51347719" w14:textId="77777777" w:rsidR="001B0D66" w:rsidRPr="00D813B2" w:rsidRDefault="001B0D66" w:rsidP="001B0D66">
            <w:pPr>
              <w:spacing w:line="240" w:lineRule="auto"/>
              <w:jc w:val="left"/>
              <w:rPr>
                <w:rFonts w:ascii="Calibri" w:hAnsi="Calibri"/>
                <w:b/>
                <w:sz w:val="22"/>
                <w:szCs w:val="22"/>
              </w:rPr>
            </w:pPr>
            <w:r w:rsidRPr="00D813B2">
              <w:rPr>
                <w:rFonts w:ascii="Calibri" w:hAnsi="Calibri"/>
                <w:b/>
                <w:sz w:val="22"/>
                <w:szCs w:val="22"/>
              </w:rPr>
              <w:t>Daňové příjmy</w:t>
            </w:r>
          </w:p>
        </w:tc>
        <w:tc>
          <w:tcPr>
            <w:tcW w:w="1520" w:type="dxa"/>
            <w:tcBorders>
              <w:top w:val="nil"/>
              <w:left w:val="nil"/>
              <w:bottom w:val="single" w:sz="12" w:space="0" w:color="auto"/>
              <w:right w:val="single" w:sz="8" w:space="0" w:color="auto"/>
            </w:tcBorders>
            <w:shd w:val="clear" w:color="auto" w:fill="auto"/>
            <w:vAlign w:val="center"/>
            <w:hideMark/>
          </w:tcPr>
          <w:p w14:paraId="5134771A" w14:textId="77777777" w:rsidR="001B0D66" w:rsidRPr="00D813B2" w:rsidRDefault="001B0D66" w:rsidP="001B0D66">
            <w:pPr>
              <w:spacing w:line="240" w:lineRule="auto"/>
              <w:jc w:val="right"/>
              <w:rPr>
                <w:rFonts w:ascii="Calibri" w:hAnsi="Calibri"/>
                <w:sz w:val="22"/>
                <w:szCs w:val="22"/>
              </w:rPr>
            </w:pPr>
            <w:r w:rsidRPr="00D813B2">
              <w:rPr>
                <w:rFonts w:ascii="Calibri" w:hAnsi="Calibri"/>
                <w:sz w:val="22"/>
                <w:szCs w:val="22"/>
              </w:rPr>
              <w:t>10 000</w:t>
            </w:r>
          </w:p>
        </w:tc>
        <w:tc>
          <w:tcPr>
            <w:tcW w:w="1680" w:type="dxa"/>
            <w:tcBorders>
              <w:top w:val="nil"/>
              <w:left w:val="nil"/>
              <w:bottom w:val="single" w:sz="12" w:space="0" w:color="auto"/>
              <w:right w:val="single" w:sz="8" w:space="0" w:color="auto"/>
            </w:tcBorders>
            <w:shd w:val="clear" w:color="auto" w:fill="auto"/>
            <w:vAlign w:val="center"/>
            <w:hideMark/>
          </w:tcPr>
          <w:p w14:paraId="5134771B" w14:textId="77777777" w:rsidR="001B0D66" w:rsidRPr="00D813B2" w:rsidRDefault="001B0D66" w:rsidP="001B0D66">
            <w:pPr>
              <w:spacing w:line="240" w:lineRule="auto"/>
              <w:jc w:val="right"/>
              <w:rPr>
                <w:rFonts w:ascii="Calibri" w:hAnsi="Calibri"/>
                <w:sz w:val="22"/>
                <w:szCs w:val="22"/>
              </w:rPr>
            </w:pPr>
            <w:r w:rsidRPr="00D813B2">
              <w:rPr>
                <w:rFonts w:ascii="Calibri" w:hAnsi="Calibri"/>
                <w:sz w:val="22"/>
                <w:szCs w:val="22"/>
              </w:rPr>
              <w:t>10 000</w:t>
            </w:r>
          </w:p>
        </w:tc>
        <w:tc>
          <w:tcPr>
            <w:tcW w:w="1447" w:type="dxa"/>
            <w:tcBorders>
              <w:top w:val="nil"/>
              <w:left w:val="nil"/>
              <w:bottom w:val="single" w:sz="12" w:space="0" w:color="auto"/>
              <w:right w:val="single" w:sz="12" w:space="0" w:color="auto"/>
            </w:tcBorders>
            <w:shd w:val="clear" w:color="auto" w:fill="auto"/>
            <w:vAlign w:val="center"/>
            <w:hideMark/>
          </w:tcPr>
          <w:p w14:paraId="5134771C" w14:textId="77777777" w:rsidR="001B0D66" w:rsidRPr="00D813B2" w:rsidRDefault="001B0D66" w:rsidP="001B0D66">
            <w:pPr>
              <w:spacing w:line="240" w:lineRule="auto"/>
              <w:jc w:val="right"/>
              <w:rPr>
                <w:rFonts w:ascii="Calibri" w:hAnsi="Calibri"/>
                <w:sz w:val="22"/>
                <w:szCs w:val="22"/>
              </w:rPr>
            </w:pPr>
            <w:r w:rsidRPr="00D813B2">
              <w:rPr>
                <w:rFonts w:ascii="Calibri" w:hAnsi="Calibri"/>
                <w:sz w:val="22"/>
                <w:szCs w:val="22"/>
              </w:rPr>
              <w:t>0</w:t>
            </w:r>
          </w:p>
        </w:tc>
      </w:tr>
    </w:tbl>
    <w:p w14:paraId="5134771E" w14:textId="77777777" w:rsidR="006B5A30" w:rsidRPr="00D813B2" w:rsidRDefault="006B5A30" w:rsidP="006B5A30">
      <w:pPr>
        <w:rPr>
          <w:rFonts w:ascii="Times New Roman" w:hAnsi="Times New Roman"/>
        </w:rPr>
      </w:pPr>
    </w:p>
    <w:p w14:paraId="5134771F" w14:textId="77777777" w:rsidR="007F2741" w:rsidRPr="00D813B2" w:rsidRDefault="007F2741" w:rsidP="00685B74">
      <w:pPr>
        <w:spacing w:line="240" w:lineRule="auto"/>
        <w:rPr>
          <w:rFonts w:ascii="Times New Roman" w:hAnsi="Times New Roman"/>
          <w:b/>
          <w:szCs w:val="24"/>
          <w:u w:val="single"/>
        </w:rPr>
      </w:pPr>
      <w:r w:rsidRPr="00D813B2">
        <w:rPr>
          <w:rFonts w:ascii="Times New Roman" w:hAnsi="Times New Roman"/>
        </w:rPr>
        <w:t>Jedná se o správní poplatky za udělení povolení k restaurování kulturních památek podle §</w:t>
      </w:r>
      <w:r w:rsidR="00896DA2">
        <w:rPr>
          <w:rFonts w:ascii="Times New Roman" w:hAnsi="Times New Roman"/>
        </w:rPr>
        <w:t> </w:t>
      </w:r>
      <w:r w:rsidRPr="00D813B2">
        <w:rPr>
          <w:rFonts w:ascii="Times New Roman" w:hAnsi="Times New Roman"/>
        </w:rPr>
        <w:t>14a zákona č. 20/1987 Sb., o státní památkové péči, za uznání odborné kvalifikace a</w:t>
      </w:r>
      <w:r w:rsidR="00DC64E0">
        <w:rPr>
          <w:rFonts w:ascii="Times New Roman" w:hAnsi="Times New Roman"/>
        </w:rPr>
        <w:t> </w:t>
      </w:r>
      <w:r w:rsidRPr="00D813B2">
        <w:rPr>
          <w:rFonts w:ascii="Times New Roman" w:hAnsi="Times New Roman"/>
        </w:rPr>
        <w:t>následné povolení k restaurování a za vystavení kopie rozhodnutí o povolení k restaurování podle Sazebníku v příloze k zákonu č. 634/2004 Sb., o správních poplatcích.</w:t>
      </w:r>
    </w:p>
    <w:p w14:paraId="51347720" w14:textId="77777777" w:rsidR="007F2741" w:rsidRPr="00D813B2" w:rsidRDefault="007F2741" w:rsidP="006B5A30">
      <w:pPr>
        <w:rPr>
          <w:rFonts w:ascii="Times New Roman" w:hAnsi="Times New Roman"/>
        </w:rPr>
      </w:pPr>
    </w:p>
    <w:p w14:paraId="51347721" w14:textId="77777777" w:rsidR="006B5A30" w:rsidRPr="00033A68" w:rsidRDefault="006B5A30" w:rsidP="004B53E2">
      <w:pPr>
        <w:pStyle w:val="Nadpis2"/>
      </w:pPr>
      <w:bookmarkStart w:id="5" w:name="_Toc431911979"/>
      <w:r w:rsidRPr="00033A68">
        <w:t>A. II. Nedaňové příjmy, kapitálové příjmy a přijaté transfery celkem</w:t>
      </w:r>
      <w:bookmarkEnd w:id="5"/>
    </w:p>
    <w:p w14:paraId="51347722" w14:textId="77777777" w:rsidR="006B5A30" w:rsidRPr="00C74263" w:rsidRDefault="00944531" w:rsidP="006B5A30">
      <w:pPr>
        <w:rPr>
          <w:rFonts w:ascii="Times New Roman" w:hAnsi="Times New Roman"/>
          <w:szCs w:val="24"/>
        </w:rPr>
      </w:pPr>
      <w:r w:rsidRPr="00C74263">
        <w:rPr>
          <w:rFonts w:ascii="Times New Roman" w:hAnsi="Times New Roman"/>
          <w:szCs w:val="24"/>
        </w:rPr>
        <w:tab/>
      </w:r>
      <w:r w:rsidRPr="00C74263">
        <w:rPr>
          <w:rFonts w:ascii="Times New Roman" w:hAnsi="Times New Roman"/>
          <w:szCs w:val="24"/>
        </w:rPr>
        <w:tab/>
      </w:r>
      <w:r w:rsidRPr="00C74263">
        <w:rPr>
          <w:rFonts w:ascii="Times New Roman" w:hAnsi="Times New Roman"/>
          <w:szCs w:val="24"/>
        </w:rPr>
        <w:tab/>
      </w:r>
      <w:r w:rsidRPr="00C74263">
        <w:rPr>
          <w:rFonts w:ascii="Times New Roman" w:hAnsi="Times New Roman"/>
          <w:szCs w:val="24"/>
        </w:rPr>
        <w:tab/>
      </w:r>
      <w:r w:rsidRPr="00C74263">
        <w:rPr>
          <w:rFonts w:ascii="Times New Roman" w:hAnsi="Times New Roman"/>
          <w:szCs w:val="24"/>
        </w:rPr>
        <w:tab/>
      </w:r>
      <w:r w:rsidRPr="00C74263">
        <w:rPr>
          <w:rFonts w:ascii="Times New Roman" w:hAnsi="Times New Roman"/>
          <w:szCs w:val="24"/>
        </w:rPr>
        <w:tab/>
      </w:r>
      <w:r w:rsidRPr="00C74263">
        <w:rPr>
          <w:rFonts w:ascii="Times New Roman" w:hAnsi="Times New Roman"/>
          <w:szCs w:val="24"/>
        </w:rPr>
        <w:tab/>
      </w:r>
      <w:r w:rsidRPr="00C74263">
        <w:rPr>
          <w:rFonts w:ascii="Times New Roman" w:hAnsi="Times New Roman"/>
          <w:szCs w:val="24"/>
        </w:rPr>
        <w:tab/>
      </w:r>
      <w:r w:rsidRPr="00C74263">
        <w:rPr>
          <w:rFonts w:ascii="Times New Roman" w:hAnsi="Times New Roman"/>
          <w:szCs w:val="24"/>
        </w:rPr>
        <w:tab/>
      </w:r>
      <w:r w:rsidRPr="00C74263">
        <w:rPr>
          <w:rFonts w:ascii="Times New Roman" w:hAnsi="Times New Roman"/>
          <w:szCs w:val="24"/>
        </w:rPr>
        <w:tab/>
      </w:r>
      <w:r w:rsidRPr="00C74263">
        <w:rPr>
          <w:rFonts w:ascii="Times New Roman" w:hAnsi="Times New Roman"/>
          <w:szCs w:val="24"/>
        </w:rPr>
        <w:tab/>
      </w:r>
      <w:r w:rsidRPr="00C74263">
        <w:rPr>
          <w:rFonts w:ascii="Times New Roman" w:hAnsi="Times New Roman"/>
          <w:szCs w:val="24"/>
        </w:rPr>
        <w:tab/>
        <w:t>v Kč</w:t>
      </w:r>
    </w:p>
    <w:tbl>
      <w:tblPr>
        <w:tblW w:w="9229" w:type="dxa"/>
        <w:tblInd w:w="55" w:type="dxa"/>
        <w:tblCellMar>
          <w:left w:w="70" w:type="dxa"/>
          <w:right w:w="70" w:type="dxa"/>
        </w:tblCellMar>
        <w:tblLook w:val="04A0" w:firstRow="1" w:lastRow="0" w:firstColumn="1" w:lastColumn="0" w:noHBand="0" w:noVBand="1"/>
      </w:tblPr>
      <w:tblGrid>
        <w:gridCol w:w="560"/>
        <w:gridCol w:w="3880"/>
        <w:gridCol w:w="1520"/>
        <w:gridCol w:w="1680"/>
        <w:gridCol w:w="1589"/>
      </w:tblGrid>
      <w:tr w:rsidR="00015522" w:rsidRPr="00C74263" w14:paraId="51347728" w14:textId="77777777" w:rsidTr="00C274AB">
        <w:trPr>
          <w:trHeight w:val="600"/>
        </w:trPr>
        <w:tc>
          <w:tcPr>
            <w:tcW w:w="4440" w:type="dxa"/>
            <w:gridSpan w:val="2"/>
            <w:tcBorders>
              <w:top w:val="single" w:sz="12" w:space="0" w:color="auto"/>
              <w:left w:val="single" w:sz="12" w:space="0" w:color="auto"/>
              <w:bottom w:val="single" w:sz="12" w:space="0" w:color="000000"/>
              <w:right w:val="single" w:sz="12" w:space="0" w:color="000000"/>
            </w:tcBorders>
            <w:shd w:val="clear" w:color="auto" w:fill="auto"/>
            <w:vAlign w:val="center"/>
            <w:hideMark/>
          </w:tcPr>
          <w:p w14:paraId="51347723" w14:textId="77777777" w:rsidR="00015522" w:rsidRPr="00C74263" w:rsidRDefault="00015522">
            <w:pPr>
              <w:jc w:val="center"/>
              <w:rPr>
                <w:rFonts w:ascii="Calibri" w:hAnsi="Calibri"/>
                <w:b/>
                <w:bCs/>
                <w:sz w:val="22"/>
                <w:szCs w:val="22"/>
              </w:rPr>
            </w:pPr>
            <w:r w:rsidRPr="00C74263">
              <w:rPr>
                <w:rFonts w:ascii="Calibri" w:hAnsi="Calibri"/>
                <w:b/>
                <w:bCs/>
                <w:sz w:val="22"/>
                <w:szCs w:val="22"/>
              </w:rPr>
              <w:t>Příjmový blok/okruh</w:t>
            </w:r>
          </w:p>
        </w:tc>
        <w:tc>
          <w:tcPr>
            <w:tcW w:w="1520" w:type="dxa"/>
            <w:tcBorders>
              <w:top w:val="single" w:sz="12" w:space="0" w:color="auto"/>
              <w:left w:val="nil"/>
              <w:bottom w:val="single" w:sz="12" w:space="0" w:color="000000"/>
              <w:right w:val="single" w:sz="8" w:space="0" w:color="auto"/>
            </w:tcBorders>
            <w:shd w:val="clear" w:color="auto" w:fill="auto"/>
            <w:vAlign w:val="center"/>
            <w:hideMark/>
          </w:tcPr>
          <w:p w14:paraId="51347724"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SR 2015</w:t>
            </w:r>
          </w:p>
        </w:tc>
        <w:tc>
          <w:tcPr>
            <w:tcW w:w="1680" w:type="dxa"/>
            <w:tcBorders>
              <w:top w:val="single" w:sz="12" w:space="0" w:color="auto"/>
              <w:left w:val="nil"/>
              <w:bottom w:val="single" w:sz="12" w:space="0" w:color="000000"/>
              <w:right w:val="single" w:sz="8" w:space="0" w:color="auto"/>
            </w:tcBorders>
            <w:shd w:val="clear" w:color="auto" w:fill="auto"/>
            <w:vAlign w:val="center"/>
            <w:hideMark/>
          </w:tcPr>
          <w:p w14:paraId="51347725"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2016</w:t>
            </w:r>
          </w:p>
        </w:tc>
        <w:tc>
          <w:tcPr>
            <w:tcW w:w="1589" w:type="dxa"/>
            <w:tcBorders>
              <w:top w:val="single" w:sz="12" w:space="0" w:color="auto"/>
              <w:left w:val="nil"/>
              <w:bottom w:val="single" w:sz="12" w:space="0" w:color="auto"/>
              <w:right w:val="single" w:sz="12" w:space="0" w:color="auto"/>
            </w:tcBorders>
            <w:shd w:val="clear" w:color="auto" w:fill="auto"/>
            <w:vAlign w:val="center"/>
            <w:hideMark/>
          </w:tcPr>
          <w:p w14:paraId="51347726"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 xml:space="preserve"> Rozdíl</w:t>
            </w:r>
          </w:p>
          <w:p w14:paraId="51347727"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16 -SR 15</w:t>
            </w:r>
          </w:p>
        </w:tc>
      </w:tr>
      <w:tr w:rsidR="006649AC" w:rsidRPr="00C74263" w14:paraId="5134772D" w14:textId="77777777" w:rsidTr="00C274AB">
        <w:trPr>
          <w:trHeight w:val="516"/>
        </w:trPr>
        <w:tc>
          <w:tcPr>
            <w:tcW w:w="4440" w:type="dxa"/>
            <w:gridSpan w:val="2"/>
            <w:tcBorders>
              <w:top w:val="single" w:sz="12" w:space="0" w:color="000000"/>
              <w:left w:val="single" w:sz="12" w:space="0" w:color="auto"/>
              <w:bottom w:val="single" w:sz="8" w:space="0" w:color="auto"/>
              <w:right w:val="single" w:sz="12" w:space="0" w:color="000000"/>
            </w:tcBorders>
            <w:shd w:val="clear" w:color="auto" w:fill="auto"/>
            <w:vAlign w:val="center"/>
            <w:hideMark/>
          </w:tcPr>
          <w:p w14:paraId="51347729" w14:textId="77777777" w:rsidR="00D95D74" w:rsidRPr="00C74263" w:rsidRDefault="00D95D74">
            <w:pPr>
              <w:rPr>
                <w:rFonts w:ascii="Calibri" w:hAnsi="Calibri"/>
                <w:b/>
                <w:bCs/>
                <w:sz w:val="22"/>
                <w:szCs w:val="22"/>
              </w:rPr>
            </w:pPr>
            <w:r w:rsidRPr="00C74263">
              <w:rPr>
                <w:rFonts w:ascii="Calibri" w:hAnsi="Calibri"/>
                <w:b/>
                <w:bCs/>
                <w:sz w:val="22"/>
                <w:szCs w:val="22"/>
              </w:rPr>
              <w:t>Nedaňové příjmy, kapitálové příjmy a přijaté transfery celkem</w:t>
            </w:r>
          </w:p>
        </w:tc>
        <w:tc>
          <w:tcPr>
            <w:tcW w:w="1520" w:type="dxa"/>
            <w:tcBorders>
              <w:top w:val="nil"/>
              <w:left w:val="nil"/>
              <w:bottom w:val="single" w:sz="8" w:space="0" w:color="auto"/>
              <w:right w:val="single" w:sz="8" w:space="0" w:color="auto"/>
            </w:tcBorders>
            <w:shd w:val="clear" w:color="auto" w:fill="auto"/>
            <w:vAlign w:val="center"/>
            <w:hideMark/>
          </w:tcPr>
          <w:p w14:paraId="5134772A" w14:textId="77777777" w:rsidR="00D95D74" w:rsidRPr="00C74263" w:rsidRDefault="00AD4123">
            <w:pPr>
              <w:jc w:val="center"/>
              <w:rPr>
                <w:rFonts w:ascii="Calibri" w:hAnsi="Calibri"/>
                <w:b/>
                <w:bCs/>
                <w:sz w:val="22"/>
                <w:szCs w:val="22"/>
              </w:rPr>
            </w:pPr>
            <w:r w:rsidRPr="00C74263">
              <w:rPr>
                <w:rFonts w:ascii="Calibri" w:hAnsi="Calibri"/>
                <w:b/>
                <w:bCs/>
                <w:sz w:val="22"/>
                <w:szCs w:val="22"/>
              </w:rPr>
              <w:t>264 691 000</w:t>
            </w:r>
            <w:r w:rsidR="00D95D74" w:rsidRPr="00C74263">
              <w:rPr>
                <w:rFonts w:ascii="Calibri" w:hAnsi="Calibri"/>
                <w:b/>
                <w:bCs/>
                <w:sz w:val="22"/>
                <w:szCs w:val="22"/>
              </w:rPr>
              <w:t> </w:t>
            </w:r>
          </w:p>
        </w:tc>
        <w:tc>
          <w:tcPr>
            <w:tcW w:w="1680" w:type="dxa"/>
            <w:tcBorders>
              <w:top w:val="nil"/>
              <w:left w:val="nil"/>
              <w:bottom w:val="single" w:sz="8" w:space="0" w:color="auto"/>
              <w:right w:val="single" w:sz="8" w:space="0" w:color="auto"/>
            </w:tcBorders>
            <w:shd w:val="clear" w:color="auto" w:fill="auto"/>
            <w:vAlign w:val="center"/>
            <w:hideMark/>
          </w:tcPr>
          <w:p w14:paraId="5134772B" w14:textId="77777777" w:rsidR="00D95D74" w:rsidRPr="00C74263" w:rsidRDefault="00D95D74" w:rsidP="006649AC">
            <w:pPr>
              <w:jc w:val="center"/>
              <w:rPr>
                <w:rFonts w:ascii="Calibri" w:hAnsi="Calibri"/>
                <w:b/>
                <w:bCs/>
                <w:sz w:val="22"/>
                <w:szCs w:val="22"/>
              </w:rPr>
            </w:pPr>
            <w:r w:rsidRPr="00C74263">
              <w:rPr>
                <w:rFonts w:ascii="Calibri" w:hAnsi="Calibri"/>
                <w:b/>
                <w:bCs/>
                <w:sz w:val="22"/>
                <w:szCs w:val="22"/>
              </w:rPr>
              <w:t> </w:t>
            </w:r>
            <w:r w:rsidR="006649AC" w:rsidRPr="00C74263">
              <w:rPr>
                <w:rFonts w:ascii="Calibri" w:hAnsi="Calibri"/>
                <w:b/>
                <w:bCs/>
                <w:sz w:val="22"/>
                <w:szCs w:val="22"/>
              </w:rPr>
              <w:t>157 185</w:t>
            </w:r>
            <w:r w:rsidR="00AD4123" w:rsidRPr="00C74263">
              <w:rPr>
                <w:rFonts w:ascii="Calibri" w:hAnsi="Calibri"/>
                <w:b/>
                <w:bCs/>
                <w:sz w:val="22"/>
                <w:szCs w:val="22"/>
              </w:rPr>
              <w:t xml:space="preserve"> 000</w:t>
            </w:r>
          </w:p>
        </w:tc>
        <w:tc>
          <w:tcPr>
            <w:tcW w:w="1589" w:type="dxa"/>
            <w:tcBorders>
              <w:top w:val="nil"/>
              <w:left w:val="nil"/>
              <w:bottom w:val="single" w:sz="8" w:space="0" w:color="auto"/>
              <w:right w:val="single" w:sz="12" w:space="0" w:color="auto"/>
            </w:tcBorders>
            <w:shd w:val="clear" w:color="auto" w:fill="auto"/>
            <w:vAlign w:val="center"/>
            <w:hideMark/>
          </w:tcPr>
          <w:p w14:paraId="5134772C" w14:textId="77777777" w:rsidR="00D95D74" w:rsidRPr="00C74263" w:rsidRDefault="00D95D74" w:rsidP="006649AC">
            <w:pPr>
              <w:jc w:val="center"/>
              <w:rPr>
                <w:rFonts w:ascii="Calibri" w:hAnsi="Calibri"/>
                <w:b/>
                <w:bCs/>
                <w:sz w:val="22"/>
                <w:szCs w:val="22"/>
              </w:rPr>
            </w:pPr>
            <w:r w:rsidRPr="00C74263">
              <w:rPr>
                <w:rFonts w:ascii="Calibri" w:hAnsi="Calibri"/>
                <w:b/>
                <w:bCs/>
                <w:sz w:val="22"/>
                <w:szCs w:val="22"/>
              </w:rPr>
              <w:t> </w:t>
            </w:r>
            <w:r w:rsidR="00AD4123" w:rsidRPr="00C74263">
              <w:rPr>
                <w:rFonts w:ascii="Calibri" w:hAnsi="Calibri"/>
                <w:b/>
                <w:bCs/>
                <w:sz w:val="22"/>
                <w:szCs w:val="22"/>
              </w:rPr>
              <w:t>-</w:t>
            </w:r>
            <w:r w:rsidR="006649AC" w:rsidRPr="00C74263">
              <w:rPr>
                <w:rFonts w:ascii="Calibri" w:hAnsi="Calibri"/>
                <w:b/>
                <w:bCs/>
                <w:sz w:val="22"/>
                <w:szCs w:val="22"/>
              </w:rPr>
              <w:t>107 506</w:t>
            </w:r>
            <w:r w:rsidR="00AD4123" w:rsidRPr="00C74263">
              <w:rPr>
                <w:rFonts w:ascii="Calibri" w:hAnsi="Calibri"/>
                <w:b/>
                <w:bCs/>
                <w:sz w:val="22"/>
                <w:szCs w:val="22"/>
              </w:rPr>
              <w:t xml:space="preserve"> 000</w:t>
            </w:r>
          </w:p>
        </w:tc>
      </w:tr>
      <w:tr w:rsidR="006649AC" w:rsidRPr="00C74263" w14:paraId="51347733" w14:textId="77777777" w:rsidTr="00C274AB">
        <w:trPr>
          <w:trHeight w:val="588"/>
        </w:trPr>
        <w:tc>
          <w:tcPr>
            <w:tcW w:w="560" w:type="dxa"/>
            <w:tcBorders>
              <w:top w:val="nil"/>
              <w:left w:val="single" w:sz="12" w:space="0" w:color="auto"/>
              <w:bottom w:val="single" w:sz="8" w:space="0" w:color="auto"/>
              <w:right w:val="single" w:sz="8" w:space="0" w:color="auto"/>
            </w:tcBorders>
            <w:shd w:val="clear" w:color="auto" w:fill="auto"/>
            <w:vAlign w:val="center"/>
            <w:hideMark/>
          </w:tcPr>
          <w:p w14:paraId="5134772E" w14:textId="77777777" w:rsidR="00D95D74" w:rsidRPr="00C74263" w:rsidRDefault="00D95D74">
            <w:pPr>
              <w:rPr>
                <w:rFonts w:ascii="Calibri" w:hAnsi="Calibri"/>
                <w:sz w:val="22"/>
                <w:szCs w:val="22"/>
              </w:rPr>
            </w:pPr>
            <w:r w:rsidRPr="00C74263">
              <w:rPr>
                <w:rFonts w:ascii="Calibri" w:hAnsi="Calibri"/>
                <w:sz w:val="22"/>
                <w:szCs w:val="22"/>
              </w:rPr>
              <w:t>a)</w:t>
            </w:r>
          </w:p>
        </w:tc>
        <w:tc>
          <w:tcPr>
            <w:tcW w:w="3880" w:type="dxa"/>
            <w:tcBorders>
              <w:top w:val="nil"/>
              <w:left w:val="nil"/>
              <w:bottom w:val="single" w:sz="8" w:space="0" w:color="auto"/>
              <w:right w:val="single" w:sz="12" w:space="0" w:color="auto"/>
            </w:tcBorders>
            <w:shd w:val="clear" w:color="auto" w:fill="auto"/>
            <w:vAlign w:val="center"/>
            <w:hideMark/>
          </w:tcPr>
          <w:p w14:paraId="5134772F" w14:textId="77777777" w:rsidR="00D95D74" w:rsidRPr="00C74263" w:rsidRDefault="00D95D74" w:rsidP="00C74263">
            <w:pPr>
              <w:jc w:val="left"/>
              <w:rPr>
                <w:rFonts w:ascii="Calibri" w:hAnsi="Calibri"/>
                <w:sz w:val="22"/>
                <w:szCs w:val="22"/>
              </w:rPr>
            </w:pPr>
            <w:r w:rsidRPr="00C74263">
              <w:rPr>
                <w:rFonts w:ascii="Calibri" w:hAnsi="Calibri"/>
                <w:sz w:val="22"/>
                <w:szCs w:val="22"/>
              </w:rPr>
              <w:t xml:space="preserve">Příjmy z rozpočtu Evropské unie </w:t>
            </w:r>
            <w:r w:rsidR="00C74263" w:rsidRPr="00C74263">
              <w:rPr>
                <w:rFonts w:ascii="Calibri" w:hAnsi="Calibri"/>
                <w:sz w:val="22"/>
                <w:szCs w:val="22"/>
              </w:rPr>
              <w:t xml:space="preserve">bez </w:t>
            </w:r>
            <w:r w:rsidRPr="00C74263">
              <w:rPr>
                <w:rFonts w:ascii="Calibri" w:hAnsi="Calibri"/>
                <w:sz w:val="22"/>
                <w:szCs w:val="22"/>
              </w:rPr>
              <w:t xml:space="preserve">společné zemědělské politiky </w:t>
            </w:r>
            <w:r w:rsidR="00C74263" w:rsidRPr="00C74263">
              <w:rPr>
                <w:rFonts w:ascii="Calibri" w:hAnsi="Calibri"/>
                <w:sz w:val="22"/>
                <w:szCs w:val="22"/>
              </w:rPr>
              <w:t>celkem</w:t>
            </w:r>
          </w:p>
        </w:tc>
        <w:tc>
          <w:tcPr>
            <w:tcW w:w="1520" w:type="dxa"/>
            <w:tcBorders>
              <w:top w:val="nil"/>
              <w:left w:val="nil"/>
              <w:bottom w:val="single" w:sz="8" w:space="0" w:color="auto"/>
              <w:right w:val="single" w:sz="8" w:space="0" w:color="auto"/>
            </w:tcBorders>
            <w:shd w:val="clear" w:color="auto" w:fill="auto"/>
            <w:vAlign w:val="center"/>
            <w:hideMark/>
          </w:tcPr>
          <w:p w14:paraId="51347730" w14:textId="77777777" w:rsidR="00D95D74" w:rsidRPr="00C74263" w:rsidRDefault="00D95D74">
            <w:pPr>
              <w:jc w:val="right"/>
              <w:rPr>
                <w:rFonts w:ascii="Calibri" w:hAnsi="Calibri"/>
                <w:sz w:val="22"/>
                <w:szCs w:val="22"/>
              </w:rPr>
            </w:pPr>
            <w:r w:rsidRPr="00C74263">
              <w:rPr>
                <w:rFonts w:ascii="Calibri" w:hAnsi="Calibri"/>
                <w:sz w:val="22"/>
                <w:szCs w:val="22"/>
              </w:rPr>
              <w:t>0</w:t>
            </w:r>
          </w:p>
        </w:tc>
        <w:tc>
          <w:tcPr>
            <w:tcW w:w="1680" w:type="dxa"/>
            <w:tcBorders>
              <w:top w:val="nil"/>
              <w:left w:val="nil"/>
              <w:bottom w:val="single" w:sz="8" w:space="0" w:color="auto"/>
              <w:right w:val="single" w:sz="8" w:space="0" w:color="auto"/>
            </w:tcBorders>
            <w:shd w:val="clear" w:color="auto" w:fill="auto"/>
            <w:vAlign w:val="center"/>
            <w:hideMark/>
          </w:tcPr>
          <w:p w14:paraId="51347731" w14:textId="77777777" w:rsidR="00D95D74" w:rsidRPr="00C74263" w:rsidRDefault="00D95D74">
            <w:pPr>
              <w:jc w:val="right"/>
              <w:rPr>
                <w:rFonts w:ascii="Calibri" w:hAnsi="Calibri"/>
                <w:sz w:val="22"/>
                <w:szCs w:val="22"/>
              </w:rPr>
            </w:pPr>
            <w:r w:rsidRPr="00C74263">
              <w:rPr>
                <w:rFonts w:ascii="Calibri" w:hAnsi="Calibri"/>
                <w:sz w:val="22"/>
                <w:szCs w:val="22"/>
              </w:rPr>
              <w:t>0</w:t>
            </w:r>
          </w:p>
        </w:tc>
        <w:tc>
          <w:tcPr>
            <w:tcW w:w="1589" w:type="dxa"/>
            <w:tcBorders>
              <w:top w:val="nil"/>
              <w:left w:val="nil"/>
              <w:bottom w:val="single" w:sz="8" w:space="0" w:color="auto"/>
              <w:right w:val="single" w:sz="12" w:space="0" w:color="auto"/>
            </w:tcBorders>
            <w:shd w:val="clear" w:color="auto" w:fill="auto"/>
            <w:vAlign w:val="center"/>
            <w:hideMark/>
          </w:tcPr>
          <w:p w14:paraId="51347732" w14:textId="77777777" w:rsidR="00D95D74" w:rsidRPr="00C74263" w:rsidRDefault="00D95D74">
            <w:pPr>
              <w:jc w:val="right"/>
              <w:rPr>
                <w:rFonts w:ascii="Calibri" w:hAnsi="Calibri"/>
                <w:sz w:val="22"/>
                <w:szCs w:val="22"/>
              </w:rPr>
            </w:pPr>
            <w:r w:rsidRPr="00C74263">
              <w:rPr>
                <w:rFonts w:ascii="Calibri" w:hAnsi="Calibri"/>
                <w:sz w:val="22"/>
                <w:szCs w:val="22"/>
              </w:rPr>
              <w:t>0</w:t>
            </w:r>
          </w:p>
        </w:tc>
      </w:tr>
      <w:tr w:rsidR="006649AC" w:rsidRPr="00C74263" w14:paraId="51347739" w14:textId="77777777" w:rsidTr="00C274AB">
        <w:trPr>
          <w:trHeight w:val="588"/>
        </w:trPr>
        <w:tc>
          <w:tcPr>
            <w:tcW w:w="560" w:type="dxa"/>
            <w:tcBorders>
              <w:top w:val="nil"/>
              <w:left w:val="single" w:sz="12" w:space="0" w:color="auto"/>
              <w:bottom w:val="single" w:sz="8" w:space="0" w:color="auto"/>
              <w:right w:val="single" w:sz="8" w:space="0" w:color="auto"/>
            </w:tcBorders>
            <w:shd w:val="clear" w:color="auto" w:fill="auto"/>
            <w:vAlign w:val="center"/>
            <w:hideMark/>
          </w:tcPr>
          <w:p w14:paraId="51347734" w14:textId="77777777" w:rsidR="00D95D74" w:rsidRPr="00C74263" w:rsidRDefault="00D95D74">
            <w:pPr>
              <w:rPr>
                <w:rFonts w:ascii="Calibri" w:hAnsi="Calibri"/>
                <w:sz w:val="22"/>
                <w:szCs w:val="22"/>
              </w:rPr>
            </w:pPr>
            <w:r w:rsidRPr="00C74263">
              <w:rPr>
                <w:rFonts w:ascii="Calibri" w:hAnsi="Calibri"/>
                <w:sz w:val="22"/>
                <w:szCs w:val="22"/>
              </w:rPr>
              <w:t>b)</w:t>
            </w:r>
          </w:p>
        </w:tc>
        <w:tc>
          <w:tcPr>
            <w:tcW w:w="3880" w:type="dxa"/>
            <w:tcBorders>
              <w:top w:val="nil"/>
              <w:left w:val="nil"/>
              <w:bottom w:val="single" w:sz="8" w:space="0" w:color="auto"/>
              <w:right w:val="single" w:sz="12" w:space="0" w:color="auto"/>
            </w:tcBorders>
            <w:shd w:val="clear" w:color="auto" w:fill="auto"/>
            <w:vAlign w:val="center"/>
            <w:hideMark/>
          </w:tcPr>
          <w:p w14:paraId="51347735" w14:textId="77777777" w:rsidR="00D95D74" w:rsidRPr="00C74263" w:rsidRDefault="00D95D74" w:rsidP="002B24CE">
            <w:pPr>
              <w:jc w:val="left"/>
              <w:rPr>
                <w:rFonts w:ascii="Calibri" w:hAnsi="Calibri"/>
                <w:sz w:val="22"/>
                <w:szCs w:val="22"/>
              </w:rPr>
            </w:pPr>
            <w:r w:rsidRPr="00C74263">
              <w:rPr>
                <w:rFonts w:ascii="Calibri" w:hAnsi="Calibri"/>
                <w:sz w:val="22"/>
                <w:szCs w:val="22"/>
              </w:rPr>
              <w:t>Příjmy z prostředků finančních mechanismů</w:t>
            </w:r>
          </w:p>
        </w:tc>
        <w:tc>
          <w:tcPr>
            <w:tcW w:w="1520" w:type="dxa"/>
            <w:tcBorders>
              <w:top w:val="nil"/>
              <w:left w:val="nil"/>
              <w:bottom w:val="single" w:sz="8" w:space="0" w:color="auto"/>
              <w:right w:val="single" w:sz="8" w:space="0" w:color="auto"/>
            </w:tcBorders>
            <w:shd w:val="clear" w:color="auto" w:fill="auto"/>
            <w:vAlign w:val="center"/>
            <w:hideMark/>
          </w:tcPr>
          <w:p w14:paraId="51347736" w14:textId="77777777" w:rsidR="00D95D74" w:rsidRPr="00C74263" w:rsidRDefault="00D95D74">
            <w:pPr>
              <w:jc w:val="right"/>
              <w:rPr>
                <w:rFonts w:ascii="Calibri" w:hAnsi="Calibri"/>
                <w:sz w:val="22"/>
                <w:szCs w:val="22"/>
              </w:rPr>
            </w:pPr>
            <w:r w:rsidRPr="00C74263">
              <w:rPr>
                <w:rFonts w:ascii="Calibri" w:hAnsi="Calibri"/>
                <w:sz w:val="22"/>
                <w:szCs w:val="22"/>
              </w:rPr>
              <w:t>100 000 000</w:t>
            </w:r>
          </w:p>
        </w:tc>
        <w:tc>
          <w:tcPr>
            <w:tcW w:w="1680" w:type="dxa"/>
            <w:tcBorders>
              <w:top w:val="nil"/>
              <w:left w:val="nil"/>
              <w:bottom w:val="single" w:sz="8" w:space="0" w:color="auto"/>
              <w:right w:val="single" w:sz="8" w:space="0" w:color="auto"/>
            </w:tcBorders>
            <w:shd w:val="clear" w:color="auto" w:fill="auto"/>
            <w:vAlign w:val="center"/>
            <w:hideMark/>
          </w:tcPr>
          <w:p w14:paraId="51347737" w14:textId="77777777" w:rsidR="00D95D74" w:rsidRPr="00C74263" w:rsidRDefault="00D95D74">
            <w:pPr>
              <w:jc w:val="right"/>
              <w:rPr>
                <w:rFonts w:ascii="Calibri" w:hAnsi="Calibri"/>
                <w:sz w:val="22"/>
                <w:szCs w:val="22"/>
              </w:rPr>
            </w:pPr>
            <w:r w:rsidRPr="00C74263">
              <w:rPr>
                <w:rFonts w:ascii="Calibri" w:hAnsi="Calibri"/>
                <w:sz w:val="22"/>
                <w:szCs w:val="22"/>
              </w:rPr>
              <w:t>0</w:t>
            </w:r>
          </w:p>
        </w:tc>
        <w:tc>
          <w:tcPr>
            <w:tcW w:w="1589" w:type="dxa"/>
            <w:tcBorders>
              <w:top w:val="nil"/>
              <w:left w:val="nil"/>
              <w:bottom w:val="single" w:sz="8" w:space="0" w:color="auto"/>
              <w:right w:val="single" w:sz="12" w:space="0" w:color="auto"/>
            </w:tcBorders>
            <w:shd w:val="clear" w:color="auto" w:fill="auto"/>
            <w:vAlign w:val="center"/>
            <w:hideMark/>
          </w:tcPr>
          <w:p w14:paraId="51347738" w14:textId="77777777" w:rsidR="00D95D74" w:rsidRPr="00C74263" w:rsidRDefault="00D95D74">
            <w:pPr>
              <w:jc w:val="right"/>
              <w:rPr>
                <w:rFonts w:ascii="Calibri" w:hAnsi="Calibri"/>
                <w:sz w:val="22"/>
                <w:szCs w:val="22"/>
              </w:rPr>
            </w:pPr>
            <w:r w:rsidRPr="00C74263">
              <w:rPr>
                <w:rFonts w:ascii="Calibri" w:hAnsi="Calibri"/>
                <w:sz w:val="22"/>
                <w:szCs w:val="22"/>
              </w:rPr>
              <w:t>-100 000 000</w:t>
            </w:r>
          </w:p>
        </w:tc>
      </w:tr>
      <w:tr w:rsidR="006649AC" w:rsidRPr="00C74263" w14:paraId="5134773F" w14:textId="77777777" w:rsidTr="00C274AB">
        <w:trPr>
          <w:trHeight w:val="588"/>
        </w:trPr>
        <w:tc>
          <w:tcPr>
            <w:tcW w:w="560" w:type="dxa"/>
            <w:tcBorders>
              <w:top w:val="nil"/>
              <w:left w:val="single" w:sz="12" w:space="0" w:color="auto"/>
              <w:bottom w:val="single" w:sz="12" w:space="0" w:color="auto"/>
              <w:right w:val="single" w:sz="8" w:space="0" w:color="auto"/>
            </w:tcBorders>
            <w:shd w:val="clear" w:color="auto" w:fill="auto"/>
            <w:vAlign w:val="center"/>
            <w:hideMark/>
          </w:tcPr>
          <w:p w14:paraId="5134773A" w14:textId="77777777" w:rsidR="00D95D74" w:rsidRPr="00C74263" w:rsidRDefault="00D95D74">
            <w:pPr>
              <w:rPr>
                <w:rFonts w:ascii="Calibri" w:hAnsi="Calibri"/>
                <w:sz w:val="22"/>
                <w:szCs w:val="22"/>
              </w:rPr>
            </w:pPr>
            <w:r w:rsidRPr="00C74263">
              <w:rPr>
                <w:rFonts w:ascii="Calibri" w:hAnsi="Calibri"/>
                <w:sz w:val="22"/>
                <w:szCs w:val="22"/>
              </w:rPr>
              <w:t>c)</w:t>
            </w:r>
          </w:p>
        </w:tc>
        <w:tc>
          <w:tcPr>
            <w:tcW w:w="3880" w:type="dxa"/>
            <w:tcBorders>
              <w:top w:val="nil"/>
              <w:left w:val="nil"/>
              <w:bottom w:val="single" w:sz="12" w:space="0" w:color="auto"/>
              <w:right w:val="single" w:sz="12" w:space="0" w:color="auto"/>
            </w:tcBorders>
            <w:shd w:val="clear" w:color="auto" w:fill="auto"/>
            <w:vAlign w:val="center"/>
            <w:hideMark/>
          </w:tcPr>
          <w:p w14:paraId="5134773B" w14:textId="77777777" w:rsidR="00D95D74" w:rsidRPr="00C74263" w:rsidRDefault="00D95D74" w:rsidP="002B24CE">
            <w:pPr>
              <w:jc w:val="left"/>
              <w:rPr>
                <w:rFonts w:ascii="Calibri" w:hAnsi="Calibri"/>
                <w:sz w:val="22"/>
                <w:szCs w:val="22"/>
              </w:rPr>
            </w:pPr>
            <w:r w:rsidRPr="00C74263">
              <w:rPr>
                <w:rFonts w:ascii="Calibri" w:hAnsi="Calibri"/>
                <w:sz w:val="22"/>
                <w:szCs w:val="22"/>
              </w:rPr>
              <w:t>Ostatní nedaňové příjmy, kapitálové příjmy a přijaté transfery celkem</w:t>
            </w:r>
          </w:p>
        </w:tc>
        <w:tc>
          <w:tcPr>
            <w:tcW w:w="1520" w:type="dxa"/>
            <w:tcBorders>
              <w:top w:val="nil"/>
              <w:left w:val="nil"/>
              <w:bottom w:val="single" w:sz="12" w:space="0" w:color="auto"/>
              <w:right w:val="single" w:sz="8" w:space="0" w:color="auto"/>
            </w:tcBorders>
            <w:shd w:val="clear" w:color="auto" w:fill="auto"/>
            <w:vAlign w:val="center"/>
            <w:hideMark/>
          </w:tcPr>
          <w:p w14:paraId="5134773C" w14:textId="77777777" w:rsidR="00D95D74" w:rsidRPr="00C74263" w:rsidRDefault="00D95D74">
            <w:pPr>
              <w:jc w:val="right"/>
              <w:rPr>
                <w:rFonts w:ascii="Calibri" w:hAnsi="Calibri"/>
                <w:sz w:val="22"/>
                <w:szCs w:val="22"/>
              </w:rPr>
            </w:pPr>
            <w:r w:rsidRPr="00C74263">
              <w:rPr>
                <w:rFonts w:ascii="Calibri" w:hAnsi="Calibri"/>
                <w:sz w:val="22"/>
                <w:szCs w:val="22"/>
              </w:rPr>
              <w:t>164 691 000</w:t>
            </w:r>
          </w:p>
        </w:tc>
        <w:tc>
          <w:tcPr>
            <w:tcW w:w="1680" w:type="dxa"/>
            <w:tcBorders>
              <w:top w:val="nil"/>
              <w:left w:val="nil"/>
              <w:bottom w:val="single" w:sz="12" w:space="0" w:color="auto"/>
              <w:right w:val="single" w:sz="8" w:space="0" w:color="auto"/>
            </w:tcBorders>
            <w:shd w:val="clear" w:color="auto" w:fill="auto"/>
            <w:vAlign w:val="center"/>
            <w:hideMark/>
          </w:tcPr>
          <w:p w14:paraId="5134773D" w14:textId="77777777" w:rsidR="00D95D74" w:rsidRPr="00C74263" w:rsidRDefault="006649AC">
            <w:pPr>
              <w:jc w:val="right"/>
              <w:rPr>
                <w:rFonts w:ascii="Calibri" w:hAnsi="Calibri"/>
                <w:sz w:val="22"/>
                <w:szCs w:val="22"/>
              </w:rPr>
            </w:pPr>
            <w:r w:rsidRPr="00C74263">
              <w:rPr>
                <w:rFonts w:ascii="Calibri" w:hAnsi="Calibri"/>
                <w:sz w:val="22"/>
                <w:szCs w:val="22"/>
              </w:rPr>
              <w:t>157 185 000</w:t>
            </w:r>
          </w:p>
        </w:tc>
        <w:tc>
          <w:tcPr>
            <w:tcW w:w="1589" w:type="dxa"/>
            <w:tcBorders>
              <w:top w:val="nil"/>
              <w:left w:val="nil"/>
              <w:bottom w:val="single" w:sz="12" w:space="0" w:color="auto"/>
              <w:right w:val="single" w:sz="12" w:space="0" w:color="auto"/>
            </w:tcBorders>
            <w:shd w:val="clear" w:color="auto" w:fill="auto"/>
            <w:vAlign w:val="center"/>
            <w:hideMark/>
          </w:tcPr>
          <w:p w14:paraId="5134773E" w14:textId="77777777" w:rsidR="00D95D74" w:rsidRPr="00C74263" w:rsidRDefault="00D95D74" w:rsidP="006649AC">
            <w:pPr>
              <w:jc w:val="right"/>
              <w:rPr>
                <w:rFonts w:ascii="Calibri" w:hAnsi="Calibri"/>
                <w:sz w:val="22"/>
                <w:szCs w:val="22"/>
              </w:rPr>
            </w:pPr>
            <w:r w:rsidRPr="00C74263">
              <w:rPr>
                <w:rFonts w:ascii="Calibri" w:hAnsi="Calibri"/>
                <w:sz w:val="22"/>
                <w:szCs w:val="22"/>
              </w:rPr>
              <w:t>-</w:t>
            </w:r>
            <w:r w:rsidR="006649AC" w:rsidRPr="00C74263">
              <w:rPr>
                <w:rFonts w:ascii="Calibri" w:hAnsi="Calibri"/>
                <w:sz w:val="22"/>
                <w:szCs w:val="22"/>
              </w:rPr>
              <w:t>7 506 000</w:t>
            </w:r>
          </w:p>
        </w:tc>
      </w:tr>
    </w:tbl>
    <w:p w14:paraId="51347740" w14:textId="77777777" w:rsidR="00F86015" w:rsidRDefault="00F86015">
      <w:pPr>
        <w:spacing w:after="200"/>
        <w:jc w:val="left"/>
        <w:rPr>
          <w:rFonts w:ascii="Times New Roman" w:hAnsi="Times New Roman"/>
          <w:szCs w:val="24"/>
        </w:rPr>
      </w:pPr>
      <w:r>
        <w:rPr>
          <w:rFonts w:ascii="Times New Roman" w:hAnsi="Times New Roman"/>
          <w:szCs w:val="24"/>
        </w:rPr>
        <w:br w:type="page"/>
      </w:r>
    </w:p>
    <w:p w14:paraId="51347741" w14:textId="77777777" w:rsidR="006B5A30" w:rsidRPr="00DC64E0" w:rsidRDefault="006B5A30" w:rsidP="003C3B5B">
      <w:pPr>
        <w:spacing w:before="120" w:line="240" w:lineRule="auto"/>
        <w:rPr>
          <w:rFonts w:ascii="Times New Roman" w:hAnsi="Times New Roman"/>
          <w:b/>
        </w:rPr>
      </w:pPr>
      <w:r w:rsidRPr="00DC64E0">
        <w:rPr>
          <w:rFonts w:ascii="Times New Roman" w:hAnsi="Times New Roman"/>
          <w:b/>
        </w:rPr>
        <w:lastRenderedPageBreak/>
        <w:t>a) příjmy z rozpočtu evropské unie bez společné zemědělské politiky celkem</w:t>
      </w:r>
      <w:r w:rsidR="00E82302" w:rsidRPr="00DC64E0">
        <w:rPr>
          <w:rFonts w:ascii="Times New Roman" w:hAnsi="Times New Roman"/>
          <w:b/>
        </w:rPr>
        <w:tab/>
      </w:r>
      <w:r w:rsidR="00E82302" w:rsidRPr="00DC64E0">
        <w:rPr>
          <w:rFonts w:ascii="Times New Roman" w:hAnsi="Times New Roman"/>
          <w:b/>
        </w:rPr>
        <w:tab/>
        <w:t>0 Kč</w:t>
      </w:r>
    </w:p>
    <w:p w14:paraId="51347742" w14:textId="77777777" w:rsidR="007F2741" w:rsidRPr="00DC64E0" w:rsidRDefault="007F2741" w:rsidP="003C3B5B">
      <w:pPr>
        <w:spacing w:before="120" w:line="240" w:lineRule="auto"/>
        <w:rPr>
          <w:rFonts w:ascii="Times New Roman" w:hAnsi="Times New Roman"/>
          <w:szCs w:val="24"/>
          <w:lang w:eastAsia="en-US"/>
        </w:rPr>
      </w:pPr>
      <w:r w:rsidRPr="00DC64E0">
        <w:rPr>
          <w:rFonts w:ascii="Times New Roman" w:hAnsi="Times New Roman"/>
        </w:rPr>
        <w:t>Příjmy z Evropského regionálního rozvojového fondu (ERDF) ani Evropského sociálního fondu (ESF) nejsou pro rok 2016 rozpočtovány</w:t>
      </w:r>
      <w:r w:rsidR="00372BD3" w:rsidRPr="00DC64E0">
        <w:rPr>
          <w:rFonts w:ascii="Times New Roman" w:hAnsi="Times New Roman"/>
        </w:rPr>
        <w:t>, stávající projekty</w:t>
      </w:r>
      <w:r w:rsidR="007901B8" w:rsidRPr="00DC64E0">
        <w:rPr>
          <w:rFonts w:ascii="Times New Roman" w:hAnsi="Times New Roman"/>
        </w:rPr>
        <w:t xml:space="preserve"> jsou z končícího programového období.</w:t>
      </w:r>
      <w:r w:rsidRPr="00DC64E0">
        <w:rPr>
          <w:rFonts w:ascii="Times New Roman" w:hAnsi="Times New Roman"/>
        </w:rPr>
        <w:t xml:space="preserve"> V</w:t>
      </w:r>
      <w:r w:rsidR="00516417" w:rsidRPr="00DC64E0">
        <w:rPr>
          <w:rFonts w:ascii="Times New Roman" w:hAnsi="Times New Roman"/>
        </w:rPr>
        <w:t xml:space="preserve"> souvislosti se </w:t>
      </w:r>
      <w:r w:rsidRPr="00DC64E0">
        <w:rPr>
          <w:rFonts w:ascii="Times New Roman" w:hAnsi="Times New Roman"/>
        </w:rPr>
        <w:t>zapojení</w:t>
      </w:r>
      <w:r w:rsidR="00516417" w:rsidRPr="00DC64E0">
        <w:rPr>
          <w:rFonts w:ascii="Times New Roman" w:hAnsi="Times New Roman"/>
        </w:rPr>
        <w:t xml:space="preserve">m </w:t>
      </w:r>
      <w:r w:rsidRPr="00DC64E0">
        <w:rPr>
          <w:rFonts w:ascii="Times New Roman" w:hAnsi="Times New Roman"/>
        </w:rPr>
        <w:t>M</w:t>
      </w:r>
      <w:r w:rsidR="00C429F6">
        <w:rPr>
          <w:rFonts w:ascii="Times New Roman" w:hAnsi="Times New Roman"/>
        </w:rPr>
        <w:t xml:space="preserve">inisterstva kultury </w:t>
      </w:r>
      <w:r w:rsidRPr="00DC64E0">
        <w:rPr>
          <w:rFonts w:ascii="Times New Roman" w:hAnsi="Times New Roman"/>
        </w:rPr>
        <w:t>do nového programového období 2014 - 2020, bude požádáno o souvztažné navýšení příjmů a výdajů v průběhu roku 2016.</w:t>
      </w:r>
    </w:p>
    <w:p w14:paraId="51347743" w14:textId="77777777" w:rsidR="00962125" w:rsidRPr="00DC64E0" w:rsidRDefault="00962125" w:rsidP="00685B74">
      <w:pPr>
        <w:spacing w:line="240" w:lineRule="auto"/>
        <w:rPr>
          <w:rFonts w:ascii="Times New Roman" w:hAnsi="Times New Roman"/>
        </w:rPr>
      </w:pPr>
    </w:p>
    <w:p w14:paraId="51347744" w14:textId="77777777" w:rsidR="006B5A30" w:rsidRPr="00DC64E0" w:rsidRDefault="006B5A30" w:rsidP="003C3B5B">
      <w:pPr>
        <w:spacing w:before="120" w:line="240" w:lineRule="auto"/>
        <w:rPr>
          <w:rFonts w:ascii="Times New Roman" w:hAnsi="Times New Roman"/>
          <w:b/>
        </w:rPr>
      </w:pPr>
      <w:r w:rsidRPr="00DC64E0">
        <w:rPr>
          <w:rFonts w:ascii="Times New Roman" w:hAnsi="Times New Roman"/>
          <w:b/>
        </w:rPr>
        <w:t>b) příjmy z prostředků finančních mechanismů</w:t>
      </w:r>
      <w:r w:rsidR="00E82302" w:rsidRPr="00DC64E0">
        <w:rPr>
          <w:rFonts w:ascii="Times New Roman" w:hAnsi="Times New Roman"/>
          <w:b/>
        </w:rPr>
        <w:tab/>
      </w:r>
      <w:r w:rsidR="00E82302" w:rsidRPr="00DC64E0">
        <w:rPr>
          <w:rFonts w:ascii="Times New Roman" w:hAnsi="Times New Roman"/>
          <w:b/>
        </w:rPr>
        <w:tab/>
      </w:r>
      <w:r w:rsidR="00E82302" w:rsidRPr="00DC64E0">
        <w:rPr>
          <w:rFonts w:ascii="Times New Roman" w:hAnsi="Times New Roman"/>
          <w:b/>
        </w:rPr>
        <w:tab/>
      </w:r>
      <w:r w:rsidR="00E82302" w:rsidRPr="00DC64E0">
        <w:rPr>
          <w:rFonts w:ascii="Times New Roman" w:hAnsi="Times New Roman"/>
          <w:b/>
        </w:rPr>
        <w:tab/>
      </w:r>
      <w:r w:rsidR="00E82302" w:rsidRPr="00DC64E0">
        <w:rPr>
          <w:rFonts w:ascii="Times New Roman" w:hAnsi="Times New Roman"/>
          <w:b/>
        </w:rPr>
        <w:tab/>
      </w:r>
      <w:r w:rsidR="00E82302" w:rsidRPr="00DC64E0">
        <w:rPr>
          <w:rFonts w:ascii="Times New Roman" w:hAnsi="Times New Roman"/>
          <w:b/>
        </w:rPr>
        <w:tab/>
        <w:t>0 Kč</w:t>
      </w:r>
    </w:p>
    <w:p w14:paraId="51347745" w14:textId="77777777" w:rsidR="004B24B3" w:rsidRPr="00DC64E0" w:rsidRDefault="004B24B3" w:rsidP="003C3B5B">
      <w:pPr>
        <w:spacing w:before="120" w:line="240" w:lineRule="auto"/>
        <w:rPr>
          <w:rFonts w:ascii="Times New Roman" w:hAnsi="Times New Roman"/>
        </w:rPr>
      </w:pPr>
      <w:r w:rsidRPr="00DC64E0">
        <w:rPr>
          <w:rFonts w:ascii="Times New Roman" w:hAnsi="Times New Roman"/>
        </w:rPr>
        <w:t xml:space="preserve">Do </w:t>
      </w:r>
      <w:r w:rsidR="00725231">
        <w:rPr>
          <w:rFonts w:ascii="Times New Roman" w:hAnsi="Times New Roman"/>
        </w:rPr>
        <w:t>okruhu</w:t>
      </w:r>
      <w:r w:rsidRPr="00DC64E0">
        <w:rPr>
          <w:rFonts w:ascii="Times New Roman" w:hAnsi="Times New Roman"/>
        </w:rPr>
        <w:t xml:space="preserve"> „Příjmy z prostředků finančních mechanismů“ na společné projekty spolufinancované z prostředků finančních mechanismů nebudou v roce 2016 zahrnuty </w:t>
      </w:r>
      <w:r w:rsidR="00F630C4">
        <w:rPr>
          <w:rFonts w:ascii="Times New Roman" w:hAnsi="Times New Roman"/>
        </w:rPr>
        <w:t xml:space="preserve">rozpočtované </w:t>
      </w:r>
      <w:r w:rsidRPr="00DC64E0">
        <w:rPr>
          <w:rFonts w:ascii="Times New Roman" w:hAnsi="Times New Roman"/>
        </w:rPr>
        <w:t>příjmy.</w:t>
      </w:r>
    </w:p>
    <w:p w14:paraId="51347746" w14:textId="77777777" w:rsidR="007F2741" w:rsidRPr="00060EF8" w:rsidRDefault="007F2741" w:rsidP="00685B74">
      <w:pPr>
        <w:spacing w:line="240" w:lineRule="auto"/>
        <w:rPr>
          <w:rFonts w:ascii="Times New Roman" w:hAnsi="Times New Roman"/>
          <w:szCs w:val="24"/>
          <w:lang w:eastAsia="en-US"/>
        </w:rPr>
      </w:pPr>
    </w:p>
    <w:p w14:paraId="51347747" w14:textId="77777777" w:rsidR="00EA3962" w:rsidRDefault="006B5A30" w:rsidP="00EA3962">
      <w:pPr>
        <w:spacing w:line="240" w:lineRule="auto"/>
        <w:rPr>
          <w:rFonts w:ascii="Times New Roman" w:hAnsi="Times New Roman"/>
          <w:b/>
        </w:rPr>
      </w:pPr>
      <w:r w:rsidRPr="00DC64E0">
        <w:rPr>
          <w:rFonts w:ascii="Times New Roman" w:hAnsi="Times New Roman"/>
          <w:b/>
        </w:rPr>
        <w:t xml:space="preserve">c) ostatní nedaňové příjmy, kapitálové příjmy a přijaté </w:t>
      </w:r>
    </w:p>
    <w:p w14:paraId="51347748" w14:textId="77777777" w:rsidR="006B5A30" w:rsidRPr="00DC64E0" w:rsidRDefault="006B5A30" w:rsidP="00EA3962">
      <w:pPr>
        <w:spacing w:line="240" w:lineRule="auto"/>
        <w:ind w:left="284"/>
        <w:rPr>
          <w:rFonts w:ascii="Times New Roman" w:hAnsi="Times New Roman"/>
          <w:b/>
        </w:rPr>
      </w:pPr>
      <w:r w:rsidRPr="00DC64E0">
        <w:rPr>
          <w:rFonts w:ascii="Times New Roman" w:hAnsi="Times New Roman"/>
          <w:b/>
        </w:rPr>
        <w:t>transfery</w:t>
      </w:r>
      <w:r w:rsidR="00EA3962">
        <w:rPr>
          <w:rFonts w:ascii="Times New Roman" w:hAnsi="Times New Roman"/>
          <w:b/>
        </w:rPr>
        <w:t xml:space="preserve"> celkem </w:t>
      </w:r>
      <w:r w:rsidR="00EA3962">
        <w:rPr>
          <w:rFonts w:ascii="Times New Roman" w:hAnsi="Times New Roman"/>
          <w:b/>
        </w:rPr>
        <w:tab/>
      </w:r>
      <w:r w:rsidR="00EA3962">
        <w:rPr>
          <w:rFonts w:ascii="Times New Roman" w:hAnsi="Times New Roman"/>
          <w:b/>
        </w:rPr>
        <w:tab/>
      </w:r>
      <w:r w:rsidR="00E82302" w:rsidRPr="00DC64E0">
        <w:rPr>
          <w:rFonts w:ascii="Times New Roman" w:hAnsi="Times New Roman"/>
          <w:b/>
        </w:rPr>
        <w:tab/>
      </w:r>
      <w:r w:rsidR="00EA3962">
        <w:rPr>
          <w:rFonts w:ascii="Times New Roman" w:hAnsi="Times New Roman"/>
          <w:b/>
        </w:rPr>
        <w:tab/>
      </w:r>
      <w:r w:rsidR="00EA3962">
        <w:rPr>
          <w:rFonts w:ascii="Times New Roman" w:hAnsi="Times New Roman"/>
          <w:b/>
        </w:rPr>
        <w:tab/>
      </w:r>
      <w:r w:rsidR="00EA3962">
        <w:rPr>
          <w:rFonts w:ascii="Times New Roman" w:hAnsi="Times New Roman"/>
          <w:b/>
        </w:rPr>
        <w:tab/>
      </w:r>
      <w:r w:rsidR="00EA3962">
        <w:rPr>
          <w:rFonts w:ascii="Times New Roman" w:hAnsi="Times New Roman"/>
          <w:b/>
        </w:rPr>
        <w:tab/>
      </w:r>
      <w:r w:rsidR="00EA3962">
        <w:rPr>
          <w:rFonts w:ascii="Times New Roman" w:hAnsi="Times New Roman"/>
          <w:b/>
        </w:rPr>
        <w:tab/>
      </w:r>
      <w:r w:rsidR="00EA3962" w:rsidRPr="00FA387B">
        <w:rPr>
          <w:rFonts w:ascii="Times New Roman" w:hAnsi="Times New Roman"/>
        </w:rPr>
        <w:t>      </w:t>
      </w:r>
      <w:r w:rsidR="00EA3962">
        <w:rPr>
          <w:rFonts w:ascii="Times New Roman" w:hAnsi="Times New Roman"/>
          <w:b/>
        </w:rPr>
        <w:t>157 185 00</w:t>
      </w:r>
      <w:r w:rsidR="000A79F3" w:rsidRPr="00DC64E0">
        <w:rPr>
          <w:rFonts w:ascii="Times New Roman" w:hAnsi="Times New Roman"/>
          <w:b/>
        </w:rPr>
        <w:t>0</w:t>
      </w:r>
      <w:r w:rsidR="00EA3962" w:rsidRPr="00FA387B">
        <w:rPr>
          <w:rFonts w:ascii="Times New Roman" w:hAnsi="Times New Roman"/>
          <w:b/>
        </w:rPr>
        <w:t> </w:t>
      </w:r>
      <w:r w:rsidR="000A79F3" w:rsidRPr="00DC64E0">
        <w:rPr>
          <w:rFonts w:ascii="Times New Roman" w:hAnsi="Times New Roman"/>
          <w:b/>
        </w:rPr>
        <w:t>Kč</w:t>
      </w:r>
    </w:p>
    <w:p w14:paraId="51347749" w14:textId="77777777" w:rsidR="004B24B3" w:rsidRPr="00DC64E0" w:rsidRDefault="004B24B3" w:rsidP="003C3B5B">
      <w:pPr>
        <w:pStyle w:val="Zhlav"/>
        <w:spacing w:before="120"/>
        <w:rPr>
          <w:rFonts w:ascii="Times New Roman" w:hAnsi="Times New Roman"/>
        </w:rPr>
      </w:pPr>
      <w:r w:rsidRPr="00DC64E0">
        <w:rPr>
          <w:rFonts w:ascii="Times New Roman" w:hAnsi="Times New Roman"/>
        </w:rPr>
        <w:t xml:space="preserve">Rozpočet ostatních nedaňových příjmů činí celkem </w:t>
      </w:r>
      <w:r w:rsidR="006649AC" w:rsidRPr="00DC64E0">
        <w:rPr>
          <w:rFonts w:ascii="Times New Roman" w:hAnsi="Times New Roman"/>
        </w:rPr>
        <w:t>157</w:t>
      </w:r>
      <w:r w:rsidR="00015522">
        <w:rPr>
          <w:rFonts w:ascii="Times New Roman" w:hAnsi="Times New Roman"/>
        </w:rPr>
        <w:t> </w:t>
      </w:r>
      <w:r w:rsidR="006649AC" w:rsidRPr="00DC64E0">
        <w:rPr>
          <w:rFonts w:ascii="Times New Roman" w:hAnsi="Times New Roman"/>
        </w:rPr>
        <w:t>185</w:t>
      </w:r>
      <w:r w:rsidRPr="00DC64E0">
        <w:rPr>
          <w:rFonts w:ascii="Times New Roman" w:hAnsi="Times New Roman"/>
        </w:rPr>
        <w:t xml:space="preserve"> tis. Kč. Součástí rozpočtu ostatních nedaňových příjmů jsou příjmy z pokut v objemu 2 tis. Kč, které se udělují podle zákona č. 122/2000 Sb., o ochraně sbírek muzejní povahy a zákona č. 71/1994 Sb.,</w:t>
      </w:r>
      <w:r w:rsidR="00DC64E0" w:rsidRPr="00DC64E0">
        <w:rPr>
          <w:rFonts w:ascii="Times New Roman" w:hAnsi="Times New Roman"/>
        </w:rPr>
        <w:t xml:space="preserve"> </w:t>
      </w:r>
      <w:r w:rsidRPr="00DC64E0">
        <w:rPr>
          <w:rFonts w:ascii="Times New Roman" w:hAnsi="Times New Roman"/>
        </w:rPr>
        <w:t>o prodeji a</w:t>
      </w:r>
      <w:r w:rsidR="00DC64E0" w:rsidRPr="00DC64E0">
        <w:rPr>
          <w:rFonts w:ascii="Times New Roman" w:hAnsi="Times New Roman"/>
        </w:rPr>
        <w:t> </w:t>
      </w:r>
      <w:r w:rsidRPr="00DC64E0">
        <w:rPr>
          <w:rFonts w:ascii="Times New Roman" w:hAnsi="Times New Roman"/>
        </w:rPr>
        <w:t>vývozu předmětů kulturní hodnoty, dále příjmy z úroků z finančních prostředků krátkodobě uložených na bankovních účtech v objemu 9 tis. Kč (platební karty a depozitní účet).</w:t>
      </w:r>
    </w:p>
    <w:p w14:paraId="5134774A" w14:textId="77777777" w:rsidR="007C1BE4" w:rsidRPr="00DF3FB9" w:rsidRDefault="007C1BE4" w:rsidP="007C1BE4">
      <w:pPr>
        <w:pStyle w:val="Zhlav"/>
        <w:spacing w:before="120"/>
        <w:rPr>
          <w:rFonts w:ascii="Times New Roman" w:hAnsi="Times New Roman"/>
        </w:rPr>
      </w:pPr>
      <w:r w:rsidRPr="00DF3FB9">
        <w:rPr>
          <w:rFonts w:ascii="Times New Roman" w:hAnsi="Times New Roman"/>
        </w:rPr>
        <w:t xml:space="preserve">Příjmy kapitoly 334 Ministerstvo kultury pro rok 2016 za oblast příspěvkových organizací jsou v objemu </w:t>
      </w:r>
      <w:r w:rsidR="006649AC" w:rsidRPr="00DF3FB9">
        <w:rPr>
          <w:rFonts w:ascii="Times New Roman" w:hAnsi="Times New Roman"/>
        </w:rPr>
        <w:t>157</w:t>
      </w:r>
      <w:r w:rsidR="00015522">
        <w:rPr>
          <w:rFonts w:ascii="Times New Roman" w:hAnsi="Times New Roman"/>
        </w:rPr>
        <w:t> </w:t>
      </w:r>
      <w:r w:rsidR="006649AC" w:rsidRPr="00DF3FB9">
        <w:rPr>
          <w:rFonts w:ascii="Times New Roman" w:hAnsi="Times New Roman"/>
        </w:rPr>
        <w:t>174</w:t>
      </w:r>
      <w:r w:rsidR="00015522">
        <w:rPr>
          <w:rFonts w:ascii="Times New Roman" w:hAnsi="Times New Roman"/>
        </w:rPr>
        <w:t xml:space="preserve"> </w:t>
      </w:r>
      <w:r w:rsidRPr="00DF3FB9">
        <w:rPr>
          <w:rFonts w:ascii="Times New Roman" w:hAnsi="Times New Roman"/>
        </w:rPr>
        <w:t>tis. Kč, z toho příjmy z odvodů odpisů majetku příspěvkových organizací činí 1</w:t>
      </w:r>
      <w:r w:rsidR="00DC64E0" w:rsidRPr="00DF3FB9">
        <w:rPr>
          <w:rFonts w:ascii="Times New Roman" w:hAnsi="Times New Roman"/>
        </w:rPr>
        <w:t>14</w:t>
      </w:r>
      <w:r w:rsidR="00B85345">
        <w:rPr>
          <w:rFonts w:ascii="Times New Roman" w:hAnsi="Times New Roman"/>
        </w:rPr>
        <w:t> </w:t>
      </w:r>
      <w:r w:rsidR="00DC64E0" w:rsidRPr="00DF3FB9">
        <w:rPr>
          <w:rFonts w:ascii="Times New Roman" w:hAnsi="Times New Roman"/>
        </w:rPr>
        <w:t>59</w:t>
      </w:r>
      <w:r w:rsidR="00B85345">
        <w:rPr>
          <w:rFonts w:ascii="Times New Roman" w:hAnsi="Times New Roman"/>
        </w:rPr>
        <w:t xml:space="preserve">6 </w:t>
      </w:r>
      <w:r w:rsidRPr="00DF3FB9">
        <w:rPr>
          <w:rFonts w:ascii="Times New Roman" w:hAnsi="Times New Roman"/>
        </w:rPr>
        <w:t xml:space="preserve">tis. Kč a příjmy z odvodů z prodeje nemovitého státního majetku </w:t>
      </w:r>
      <w:r w:rsidR="00DC64E0" w:rsidRPr="00DF3FB9">
        <w:rPr>
          <w:rFonts w:ascii="Times New Roman" w:hAnsi="Times New Roman"/>
        </w:rPr>
        <w:t>42</w:t>
      </w:r>
      <w:r w:rsidRPr="00DF3FB9">
        <w:rPr>
          <w:rFonts w:ascii="Times New Roman" w:hAnsi="Times New Roman"/>
        </w:rPr>
        <w:t> </w:t>
      </w:r>
      <w:r w:rsidR="00DC64E0" w:rsidRPr="00DF3FB9">
        <w:rPr>
          <w:rFonts w:ascii="Times New Roman" w:hAnsi="Times New Roman"/>
        </w:rPr>
        <w:t>5</w:t>
      </w:r>
      <w:r w:rsidR="00B85345">
        <w:rPr>
          <w:rFonts w:ascii="Times New Roman" w:hAnsi="Times New Roman"/>
        </w:rPr>
        <w:t>7</w:t>
      </w:r>
      <w:r w:rsidR="00310E28">
        <w:rPr>
          <w:rFonts w:ascii="Times New Roman" w:hAnsi="Times New Roman"/>
        </w:rPr>
        <w:t>8</w:t>
      </w:r>
      <w:r w:rsidRPr="00DF3FB9">
        <w:rPr>
          <w:rFonts w:ascii="Times New Roman" w:hAnsi="Times New Roman"/>
        </w:rPr>
        <w:t xml:space="preserve"> tis.</w:t>
      </w:r>
      <w:r w:rsidR="00B85345">
        <w:rPr>
          <w:rFonts w:ascii="Times New Roman" w:hAnsi="Times New Roman"/>
        </w:rPr>
        <w:t> </w:t>
      </w:r>
      <w:r w:rsidRPr="00DF3FB9">
        <w:rPr>
          <w:rFonts w:ascii="Times New Roman" w:hAnsi="Times New Roman"/>
        </w:rPr>
        <w:t>Kč. Příjmy zajištěné formou odvodů nařízených příspěvkovým organizacím jsou v</w:t>
      </w:r>
      <w:r w:rsidR="00B85345">
        <w:rPr>
          <w:rFonts w:ascii="Times New Roman" w:hAnsi="Times New Roman"/>
        </w:rPr>
        <w:t> </w:t>
      </w:r>
      <w:r w:rsidRPr="00DF3FB9">
        <w:rPr>
          <w:rFonts w:ascii="Times New Roman" w:hAnsi="Times New Roman"/>
        </w:rPr>
        <w:t>rozpočtu ve shodném rozsahu souvztažně uplatněny v rámci výdajů ukazatele příspěvek na</w:t>
      </w:r>
      <w:r w:rsidR="00B85345">
        <w:rPr>
          <w:rFonts w:ascii="Times New Roman" w:hAnsi="Times New Roman"/>
        </w:rPr>
        <w:t> </w:t>
      </w:r>
      <w:r w:rsidRPr="00DF3FB9">
        <w:rPr>
          <w:rFonts w:ascii="Times New Roman" w:hAnsi="Times New Roman"/>
        </w:rPr>
        <w:t>provoz</w:t>
      </w:r>
      <w:r w:rsidR="00B85345">
        <w:rPr>
          <w:rFonts w:ascii="Times New Roman" w:hAnsi="Times New Roman"/>
        </w:rPr>
        <w:t xml:space="preserve"> příspěvkovým organizacím</w:t>
      </w:r>
      <w:r w:rsidRPr="00DF3FB9">
        <w:rPr>
          <w:rFonts w:ascii="Times New Roman" w:hAnsi="Times New Roman"/>
        </w:rPr>
        <w:t>. Opatření má povahu realokace peněžních prostředků v rámci kapitoly. Cílem opatření je uspořádání poměru investičního a provozního financování podle potřeb příspěvkových organizací a výdajových možností kapitoly.</w:t>
      </w:r>
    </w:p>
    <w:p w14:paraId="5134774B" w14:textId="77777777" w:rsidR="00F630C4" w:rsidRPr="00DF3FB9" w:rsidRDefault="007C1BE4" w:rsidP="007C1BE4">
      <w:pPr>
        <w:pStyle w:val="Zhlav"/>
        <w:spacing w:before="120"/>
        <w:rPr>
          <w:rFonts w:ascii="Times New Roman" w:hAnsi="Times New Roman"/>
        </w:rPr>
      </w:pPr>
      <w:r w:rsidRPr="00DF3FB9">
        <w:rPr>
          <w:rFonts w:ascii="Times New Roman" w:hAnsi="Times New Roman"/>
        </w:rPr>
        <w:t>Uvedené příjmy z odvodů odpisů v</w:t>
      </w:r>
      <w:r w:rsidR="00B85345">
        <w:rPr>
          <w:rFonts w:ascii="Times New Roman" w:hAnsi="Times New Roman"/>
        </w:rPr>
        <w:t>e</w:t>
      </w:r>
      <w:r w:rsidRPr="00DF3FB9">
        <w:rPr>
          <w:rFonts w:ascii="Times New Roman" w:hAnsi="Times New Roman"/>
        </w:rPr>
        <w:t> </w:t>
      </w:r>
      <w:r w:rsidR="00B85345">
        <w:rPr>
          <w:rFonts w:ascii="Times New Roman" w:hAnsi="Times New Roman"/>
        </w:rPr>
        <w:t xml:space="preserve">schváleném </w:t>
      </w:r>
      <w:r w:rsidRPr="00DF3FB9">
        <w:rPr>
          <w:rFonts w:ascii="Times New Roman" w:hAnsi="Times New Roman"/>
        </w:rPr>
        <w:t xml:space="preserve">rozpočtu kapitoly jsou zapracovány v rozpočtech jednotlivých příspěvkových organizací. </w:t>
      </w:r>
      <w:r w:rsidR="00B85345">
        <w:rPr>
          <w:rFonts w:ascii="Times New Roman" w:hAnsi="Times New Roman"/>
        </w:rPr>
        <w:t>Schválený r</w:t>
      </w:r>
      <w:r w:rsidRPr="00DF3FB9">
        <w:rPr>
          <w:rFonts w:ascii="Times New Roman" w:hAnsi="Times New Roman"/>
        </w:rPr>
        <w:t>ozpoč</w:t>
      </w:r>
      <w:r w:rsidR="00B85345">
        <w:rPr>
          <w:rFonts w:ascii="Times New Roman" w:hAnsi="Times New Roman"/>
        </w:rPr>
        <w:t>e</w:t>
      </w:r>
      <w:r w:rsidRPr="00DF3FB9">
        <w:rPr>
          <w:rFonts w:ascii="Times New Roman" w:hAnsi="Times New Roman"/>
        </w:rPr>
        <w:t>t příjmů příspěvkových organizací vychází z finančních vztahů stanovených v souladu s § 54 zákona číslo 218/2000 Sb. Odvody z odpisů nepřevyšují u žádné příspěvkové organizace odpisy z nemovitostí a jsou nastaveny s přihlédnutím k potřebám organizací, u kterých náklady na</w:t>
      </w:r>
      <w:r w:rsidR="00DC64E0" w:rsidRPr="00DF3FB9">
        <w:rPr>
          <w:rFonts w:ascii="Times New Roman" w:hAnsi="Times New Roman"/>
        </w:rPr>
        <w:t> </w:t>
      </w:r>
      <w:r w:rsidRPr="00DF3FB9">
        <w:rPr>
          <w:rFonts w:ascii="Times New Roman" w:hAnsi="Times New Roman"/>
        </w:rPr>
        <w:t>odpisy podle odpisových plánů nejsou plně kryty vlastními výnosy a ani příspěvkem od</w:t>
      </w:r>
      <w:r w:rsidR="00DC64E0" w:rsidRPr="00DF3FB9">
        <w:rPr>
          <w:rFonts w:ascii="Times New Roman" w:hAnsi="Times New Roman"/>
        </w:rPr>
        <w:t> </w:t>
      </w:r>
      <w:r w:rsidRPr="00DF3FB9">
        <w:rPr>
          <w:rFonts w:ascii="Times New Roman" w:hAnsi="Times New Roman"/>
        </w:rPr>
        <w:t>zřizovatele. Odvody z odpisů představují svým způsobem vyjádření hodnoty zpětného kapitálového toku směřujícího z příspěvkových organizací do státního rozpočtu</w:t>
      </w:r>
      <w:r w:rsidR="00DF3FB9" w:rsidRPr="00DF3FB9">
        <w:rPr>
          <w:rFonts w:ascii="Times New Roman" w:hAnsi="Times New Roman"/>
        </w:rPr>
        <w:t xml:space="preserve">, který je přiměřeným vyjádřením </w:t>
      </w:r>
      <w:r w:rsidRPr="00DF3FB9">
        <w:rPr>
          <w:rFonts w:ascii="Times New Roman" w:hAnsi="Times New Roman"/>
        </w:rPr>
        <w:t>hodnoty investičních transferů směřujících ze státního rozpočtu do</w:t>
      </w:r>
      <w:r w:rsidR="00DC64E0" w:rsidRPr="00DF3FB9">
        <w:rPr>
          <w:rFonts w:ascii="Times New Roman" w:hAnsi="Times New Roman"/>
        </w:rPr>
        <w:t> </w:t>
      </w:r>
      <w:r w:rsidRPr="00DF3FB9">
        <w:rPr>
          <w:rFonts w:ascii="Times New Roman" w:hAnsi="Times New Roman"/>
        </w:rPr>
        <w:t>příspěvkových organizací</w:t>
      </w:r>
      <w:r w:rsidR="00DF3FB9" w:rsidRPr="00DF3FB9">
        <w:rPr>
          <w:rFonts w:ascii="Times New Roman" w:hAnsi="Times New Roman"/>
        </w:rPr>
        <w:t xml:space="preserve"> při jeho rozložení v čase, tj. po dobu životnosti investice.</w:t>
      </w:r>
      <w:r w:rsidRPr="00DF3FB9">
        <w:rPr>
          <w:rFonts w:ascii="Times New Roman" w:hAnsi="Times New Roman"/>
        </w:rPr>
        <w:t xml:space="preserve"> Fakticky jsou odvody z odpisů profinancovány v plném rozsahu státním rozpočtem prostřednictvím souvztažného navýšení výdajů při jejich zvýšení.</w:t>
      </w:r>
      <w:r w:rsidR="00DF3FB9" w:rsidRPr="00DF3FB9">
        <w:rPr>
          <w:rFonts w:ascii="Times New Roman" w:hAnsi="Times New Roman"/>
        </w:rPr>
        <w:t xml:space="preserve"> </w:t>
      </w:r>
    </w:p>
    <w:p w14:paraId="5134774C" w14:textId="77777777" w:rsidR="007C1BE4" w:rsidRPr="00802023" w:rsidRDefault="007C1BE4" w:rsidP="007C1BE4">
      <w:pPr>
        <w:pStyle w:val="Zhlav"/>
        <w:spacing w:before="120"/>
        <w:rPr>
          <w:rFonts w:ascii="Times New Roman" w:hAnsi="Times New Roman"/>
        </w:rPr>
      </w:pPr>
      <w:r w:rsidRPr="00DF3FB9">
        <w:rPr>
          <w:rFonts w:ascii="Times New Roman" w:hAnsi="Times New Roman"/>
        </w:rPr>
        <w:t xml:space="preserve">Zdrojem příjmů bude rovněž prodej majetku, se kterým jsou příslušné hospodařit příspěvkové organizace a současně jej organizace vyhodnotily jako přesahující potřeby provozu. Majetek bude před zpeněžením nabízen ostatním státním organizacím k úplatnému nebo bezúplatnému převodu. </w:t>
      </w:r>
      <w:r w:rsidR="00DF3FB9" w:rsidRPr="00DF3FB9">
        <w:rPr>
          <w:rFonts w:ascii="Times New Roman" w:hAnsi="Times New Roman"/>
        </w:rPr>
        <w:t>Stejně jako v předchozích letech bylo i pro rok 2016 požadováno v ná</w:t>
      </w:r>
      <w:r w:rsidR="00DF3FB9">
        <w:rPr>
          <w:rFonts w:ascii="Times New Roman" w:hAnsi="Times New Roman"/>
        </w:rPr>
        <w:t>vr</w:t>
      </w:r>
      <w:r w:rsidR="00DF3FB9" w:rsidRPr="00DF3FB9">
        <w:rPr>
          <w:rFonts w:ascii="Times New Roman" w:hAnsi="Times New Roman"/>
        </w:rPr>
        <w:t xml:space="preserve">hu rozpočtu souvztažné navýšení příjmů i výdajů kapitoly z důvodu navýšení plánovaných příjmů z prodeje majetku o 26 955 000 Kč. Navýšení bylo požadováno jako souvztažné s navýšením </w:t>
      </w:r>
      <w:r w:rsidR="00DF3FB9" w:rsidRPr="00DF3FB9">
        <w:rPr>
          <w:rFonts w:ascii="Times New Roman" w:hAnsi="Times New Roman"/>
        </w:rPr>
        <w:lastRenderedPageBreak/>
        <w:t>výdajů v ukazateli příspěvek na provoz příspěvkových organizací.  Navýšení výdajů kapitoly spojené se souvztažným zvýšením příjmů umožní v návaznosti na realizované příjmy z prodeje nemovitého majetku částečně profinancovat rozpočtově nezajištěné potřeby příspěvkových organizací</w:t>
      </w:r>
      <w:r w:rsidR="00DF3FB9">
        <w:rPr>
          <w:rFonts w:ascii="Times New Roman" w:hAnsi="Times New Roman"/>
          <w:color w:val="0070C0"/>
        </w:rPr>
        <w:t xml:space="preserve">. </w:t>
      </w:r>
      <w:r w:rsidRPr="00802023">
        <w:rPr>
          <w:rFonts w:ascii="Times New Roman" w:hAnsi="Times New Roman"/>
        </w:rPr>
        <w:t>V případě, že prodej majetku nebude realizován nebo nebude prodej uskutečněn v plánované výši, budou výdaje ve stejném objemu vázány v rozpočtu kapitoly a nedojde k jejich čerpání. Příčinou vázání je zpravidla dlouhý proces prodeje přesahující délkou jedno rozpočtové období.</w:t>
      </w:r>
    </w:p>
    <w:p w14:paraId="5134774D" w14:textId="77777777" w:rsidR="007C1BE4" w:rsidRPr="00802023" w:rsidRDefault="007C1BE4" w:rsidP="00FB12EE">
      <w:pPr>
        <w:pStyle w:val="Zhlav"/>
        <w:spacing w:before="120"/>
        <w:rPr>
          <w:rFonts w:ascii="Times New Roman" w:hAnsi="Times New Roman"/>
        </w:rPr>
        <w:sectPr w:rsidR="007C1BE4" w:rsidRPr="00802023" w:rsidSect="00995864">
          <w:footerReference w:type="default" r:id="rId14"/>
          <w:pgSz w:w="11906" w:h="16838"/>
          <w:pgMar w:top="1417" w:right="1417" w:bottom="1985" w:left="1417" w:header="708" w:footer="708" w:gutter="0"/>
          <w:cols w:space="708"/>
          <w:docGrid w:linePitch="360"/>
        </w:sectPr>
      </w:pPr>
      <w:r w:rsidRPr="00802023">
        <w:rPr>
          <w:rFonts w:ascii="Times New Roman" w:hAnsi="Times New Roman"/>
        </w:rPr>
        <w:t xml:space="preserve">Částka </w:t>
      </w:r>
      <w:r w:rsidR="006649AC" w:rsidRPr="00802023">
        <w:rPr>
          <w:rFonts w:ascii="Times New Roman" w:hAnsi="Times New Roman"/>
        </w:rPr>
        <w:t>157 174</w:t>
      </w:r>
      <w:r w:rsidRPr="00802023">
        <w:rPr>
          <w:rFonts w:ascii="Times New Roman" w:hAnsi="Times New Roman"/>
        </w:rPr>
        <w:t> tis. Kč je souvztažně zahrnuta do příjmů i výdajů ukazatele Příspěvek na</w:t>
      </w:r>
      <w:r w:rsidR="00DC64E0" w:rsidRPr="00802023">
        <w:rPr>
          <w:rFonts w:ascii="Times New Roman" w:hAnsi="Times New Roman"/>
        </w:rPr>
        <w:t> </w:t>
      </w:r>
      <w:r w:rsidRPr="00802023">
        <w:rPr>
          <w:rFonts w:ascii="Times New Roman" w:hAnsi="Times New Roman"/>
        </w:rPr>
        <w:t>provoz, přičemž je zčásti rozepsána (odvody z odpisů) do rozpočtu organizací a zčásti zůstává součástí nerozepsaných běžných výdajů (odvody z prodeje majetku) určených na krytí naléhavých potřeb příspěvkových organizací nezajištěných příspěvkem na provoz od</w:t>
      </w:r>
      <w:r w:rsidR="00DC64E0" w:rsidRPr="00802023">
        <w:rPr>
          <w:rFonts w:ascii="Times New Roman" w:hAnsi="Times New Roman"/>
        </w:rPr>
        <w:t> </w:t>
      </w:r>
      <w:r w:rsidRPr="00802023">
        <w:rPr>
          <w:rFonts w:ascii="Times New Roman" w:hAnsi="Times New Roman"/>
        </w:rPr>
        <w:t>zřizovatele.</w:t>
      </w:r>
    </w:p>
    <w:p w14:paraId="5134774E" w14:textId="77777777" w:rsidR="006B5A30" w:rsidRPr="004B53E2" w:rsidRDefault="006B5A30" w:rsidP="004B53E2">
      <w:pPr>
        <w:pStyle w:val="Nadpis1"/>
        <w:rPr>
          <w:rFonts w:ascii="Times New Roman" w:hAnsi="Times New Roman" w:cs="Times New Roman"/>
          <w:color w:val="auto"/>
        </w:rPr>
      </w:pPr>
      <w:bookmarkStart w:id="6" w:name="_Toc431911980"/>
      <w:r w:rsidRPr="004B53E2">
        <w:rPr>
          <w:rFonts w:ascii="Times New Roman" w:hAnsi="Times New Roman" w:cs="Times New Roman"/>
          <w:color w:val="auto"/>
        </w:rPr>
        <w:lastRenderedPageBreak/>
        <w:t>B.</w:t>
      </w:r>
      <w:r w:rsidR="002D6A2C" w:rsidRPr="004B53E2">
        <w:rPr>
          <w:rFonts w:ascii="Times New Roman" w:hAnsi="Times New Roman" w:cs="Times New Roman"/>
          <w:color w:val="auto"/>
        </w:rPr>
        <w:t xml:space="preserve"> </w:t>
      </w:r>
      <w:r w:rsidRPr="004B53E2">
        <w:rPr>
          <w:rFonts w:ascii="Times New Roman" w:hAnsi="Times New Roman" w:cs="Times New Roman"/>
          <w:color w:val="auto"/>
        </w:rPr>
        <w:t>VÝDAJE</w:t>
      </w:r>
      <w:bookmarkEnd w:id="6"/>
    </w:p>
    <w:p w14:paraId="5134774F" w14:textId="77777777" w:rsidR="001D72D6" w:rsidRDefault="001D72D6" w:rsidP="006B5A30">
      <w:pPr>
        <w:rPr>
          <w:rFonts w:ascii="Times New Roman" w:hAnsi="Times New Roman"/>
        </w:rPr>
      </w:pPr>
    </w:p>
    <w:p w14:paraId="51347750" w14:textId="77777777" w:rsidR="006B5A30" w:rsidRPr="003358AF" w:rsidRDefault="006B5A30" w:rsidP="001D72D6">
      <w:pPr>
        <w:pStyle w:val="Nadpis2"/>
        <w:rPr>
          <w:color w:val="365F91" w:themeColor="accent1" w:themeShade="BF"/>
        </w:rPr>
      </w:pPr>
      <w:bookmarkStart w:id="7" w:name="_Toc431911981"/>
      <w:r w:rsidRPr="00BF0914">
        <w:t>B. I. Výdaje na výzkum, vývoj a inovace</w:t>
      </w:r>
      <w:r w:rsidR="00217597" w:rsidRPr="00BF0914">
        <w:t xml:space="preserve"> celkem</w:t>
      </w:r>
      <w:bookmarkEnd w:id="7"/>
    </w:p>
    <w:p w14:paraId="51347751" w14:textId="77777777" w:rsidR="006B5A30" w:rsidRPr="00F86015" w:rsidRDefault="00D7537F" w:rsidP="006B5A30">
      <w:pPr>
        <w:rPr>
          <w:rFonts w:ascii="Times New Roman" w:hAnsi="Times New Roman"/>
          <w:sz w:val="20"/>
        </w:rPr>
      </w:pPr>
      <w:r w:rsidRPr="00DC64E0">
        <w:rPr>
          <w:rFonts w:ascii="Times New Roman" w:hAnsi="Times New Roman"/>
        </w:rPr>
        <w:tab/>
      </w:r>
      <w:r w:rsidRPr="00DC64E0">
        <w:rPr>
          <w:rFonts w:ascii="Times New Roman" w:hAnsi="Times New Roman"/>
        </w:rPr>
        <w:tab/>
      </w:r>
      <w:r w:rsidRPr="00DC64E0">
        <w:rPr>
          <w:rFonts w:ascii="Times New Roman" w:hAnsi="Times New Roman"/>
        </w:rPr>
        <w:tab/>
      </w:r>
      <w:r w:rsidRPr="00DC64E0">
        <w:rPr>
          <w:rFonts w:ascii="Times New Roman" w:hAnsi="Times New Roman"/>
        </w:rPr>
        <w:tab/>
      </w:r>
      <w:r w:rsidRPr="00DC64E0">
        <w:rPr>
          <w:rFonts w:ascii="Times New Roman" w:hAnsi="Times New Roman"/>
        </w:rPr>
        <w:tab/>
      </w:r>
      <w:r w:rsidRPr="00DC64E0">
        <w:rPr>
          <w:rFonts w:ascii="Times New Roman" w:hAnsi="Times New Roman"/>
        </w:rPr>
        <w:tab/>
      </w:r>
      <w:r w:rsidRPr="00DC64E0">
        <w:rPr>
          <w:rFonts w:ascii="Times New Roman" w:hAnsi="Times New Roman"/>
        </w:rPr>
        <w:tab/>
      </w:r>
      <w:r w:rsidRPr="00DC64E0">
        <w:rPr>
          <w:rFonts w:ascii="Times New Roman" w:hAnsi="Times New Roman"/>
        </w:rPr>
        <w:tab/>
      </w:r>
      <w:r w:rsidRPr="00DC64E0">
        <w:rPr>
          <w:rFonts w:ascii="Times New Roman" w:hAnsi="Times New Roman"/>
        </w:rPr>
        <w:tab/>
      </w:r>
      <w:r w:rsidRPr="00DC64E0">
        <w:rPr>
          <w:rFonts w:ascii="Times New Roman" w:hAnsi="Times New Roman"/>
        </w:rPr>
        <w:tab/>
      </w:r>
      <w:r w:rsidRPr="00DC64E0">
        <w:rPr>
          <w:rFonts w:ascii="Times New Roman" w:hAnsi="Times New Roman"/>
        </w:rPr>
        <w:tab/>
      </w:r>
      <w:r w:rsidRPr="00DC64E0">
        <w:rPr>
          <w:rFonts w:ascii="Times New Roman" w:hAnsi="Times New Roman"/>
        </w:rPr>
        <w:tab/>
      </w:r>
      <w:r w:rsidRPr="00F86015">
        <w:rPr>
          <w:rFonts w:ascii="Times New Roman" w:hAnsi="Times New Roman"/>
          <w:sz w:val="20"/>
        </w:rPr>
        <w:t>v Kč</w:t>
      </w:r>
    </w:p>
    <w:tbl>
      <w:tblPr>
        <w:tblW w:w="9087" w:type="dxa"/>
        <w:tblInd w:w="55" w:type="dxa"/>
        <w:tblCellMar>
          <w:left w:w="70" w:type="dxa"/>
          <w:right w:w="70" w:type="dxa"/>
        </w:tblCellMar>
        <w:tblLook w:val="04A0" w:firstRow="1" w:lastRow="0" w:firstColumn="1" w:lastColumn="0" w:noHBand="0" w:noVBand="1"/>
      </w:tblPr>
      <w:tblGrid>
        <w:gridCol w:w="4693"/>
        <w:gridCol w:w="1587"/>
        <w:gridCol w:w="1390"/>
        <w:gridCol w:w="1417"/>
      </w:tblGrid>
      <w:tr w:rsidR="00015522" w:rsidRPr="00DC64E0" w14:paraId="51347757" w14:textId="77777777" w:rsidTr="006D3D6A">
        <w:trPr>
          <w:trHeight w:val="600"/>
        </w:trPr>
        <w:tc>
          <w:tcPr>
            <w:tcW w:w="4693" w:type="dxa"/>
            <w:tcBorders>
              <w:top w:val="single" w:sz="12" w:space="0" w:color="auto"/>
              <w:left w:val="single" w:sz="12" w:space="0" w:color="auto"/>
              <w:bottom w:val="single" w:sz="12" w:space="0" w:color="auto"/>
              <w:right w:val="single" w:sz="8" w:space="0" w:color="000000"/>
            </w:tcBorders>
            <w:shd w:val="clear" w:color="auto" w:fill="auto"/>
            <w:vAlign w:val="center"/>
            <w:hideMark/>
          </w:tcPr>
          <w:p w14:paraId="51347752" w14:textId="77777777" w:rsidR="00015522" w:rsidRPr="00DC64E0" w:rsidRDefault="00015522" w:rsidP="00D7537F">
            <w:pPr>
              <w:spacing w:line="240" w:lineRule="auto"/>
              <w:jc w:val="center"/>
              <w:rPr>
                <w:rFonts w:ascii="Calibri" w:hAnsi="Calibri"/>
                <w:b/>
                <w:bCs/>
                <w:sz w:val="22"/>
                <w:szCs w:val="22"/>
              </w:rPr>
            </w:pPr>
            <w:r w:rsidRPr="00DC64E0">
              <w:rPr>
                <w:rFonts w:ascii="Calibri" w:hAnsi="Calibri"/>
                <w:b/>
                <w:bCs/>
                <w:sz w:val="22"/>
                <w:szCs w:val="22"/>
              </w:rPr>
              <w:t>Výdajový blok</w:t>
            </w:r>
          </w:p>
        </w:tc>
        <w:tc>
          <w:tcPr>
            <w:tcW w:w="1587" w:type="dxa"/>
            <w:tcBorders>
              <w:top w:val="single" w:sz="12" w:space="0" w:color="auto"/>
              <w:left w:val="nil"/>
              <w:bottom w:val="single" w:sz="12" w:space="0" w:color="auto"/>
              <w:right w:val="single" w:sz="8" w:space="0" w:color="auto"/>
            </w:tcBorders>
            <w:shd w:val="clear" w:color="auto" w:fill="auto"/>
            <w:vAlign w:val="center"/>
            <w:hideMark/>
          </w:tcPr>
          <w:p w14:paraId="51347753"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SR 2015</w:t>
            </w:r>
          </w:p>
        </w:tc>
        <w:tc>
          <w:tcPr>
            <w:tcW w:w="1390" w:type="dxa"/>
            <w:tcBorders>
              <w:top w:val="single" w:sz="12" w:space="0" w:color="auto"/>
              <w:left w:val="nil"/>
              <w:bottom w:val="single" w:sz="12" w:space="0" w:color="auto"/>
              <w:right w:val="single" w:sz="8" w:space="0" w:color="auto"/>
            </w:tcBorders>
            <w:shd w:val="clear" w:color="auto" w:fill="auto"/>
            <w:vAlign w:val="center"/>
            <w:hideMark/>
          </w:tcPr>
          <w:p w14:paraId="51347754"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2016</w:t>
            </w:r>
          </w:p>
        </w:tc>
        <w:tc>
          <w:tcPr>
            <w:tcW w:w="1417" w:type="dxa"/>
            <w:tcBorders>
              <w:top w:val="single" w:sz="12" w:space="0" w:color="auto"/>
              <w:left w:val="nil"/>
              <w:bottom w:val="single" w:sz="12" w:space="0" w:color="auto"/>
              <w:right w:val="single" w:sz="12" w:space="0" w:color="auto"/>
            </w:tcBorders>
            <w:shd w:val="clear" w:color="auto" w:fill="auto"/>
            <w:vAlign w:val="center"/>
            <w:hideMark/>
          </w:tcPr>
          <w:p w14:paraId="51347755"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 xml:space="preserve"> Rozdíl</w:t>
            </w:r>
          </w:p>
          <w:p w14:paraId="51347756"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16 -SR 15</w:t>
            </w:r>
          </w:p>
        </w:tc>
      </w:tr>
      <w:tr w:rsidR="00D7537F" w:rsidRPr="00DC64E0" w14:paraId="5134775C" w14:textId="77777777" w:rsidTr="006D3D6A">
        <w:trPr>
          <w:trHeight w:val="312"/>
        </w:trPr>
        <w:tc>
          <w:tcPr>
            <w:tcW w:w="4693" w:type="dxa"/>
            <w:tcBorders>
              <w:top w:val="single" w:sz="12" w:space="0" w:color="auto"/>
              <w:left w:val="single" w:sz="12" w:space="0" w:color="auto"/>
              <w:bottom w:val="single" w:sz="12" w:space="0" w:color="auto"/>
              <w:right w:val="single" w:sz="8" w:space="0" w:color="000000"/>
            </w:tcBorders>
            <w:shd w:val="clear" w:color="auto" w:fill="auto"/>
            <w:vAlign w:val="center"/>
            <w:hideMark/>
          </w:tcPr>
          <w:p w14:paraId="51347758" w14:textId="77777777" w:rsidR="00D7537F" w:rsidRPr="00DC64E0" w:rsidRDefault="00D7537F" w:rsidP="006D3D6A">
            <w:pPr>
              <w:spacing w:line="240" w:lineRule="auto"/>
              <w:jc w:val="left"/>
              <w:rPr>
                <w:rFonts w:ascii="Calibri" w:hAnsi="Calibri"/>
                <w:sz w:val="22"/>
                <w:szCs w:val="22"/>
              </w:rPr>
            </w:pPr>
            <w:r w:rsidRPr="00DC64E0">
              <w:rPr>
                <w:rFonts w:ascii="Calibri" w:hAnsi="Calibri"/>
                <w:sz w:val="22"/>
                <w:szCs w:val="22"/>
              </w:rPr>
              <w:t>Výdaje na výzkum, vývoj a inovace celkem</w:t>
            </w:r>
          </w:p>
        </w:tc>
        <w:tc>
          <w:tcPr>
            <w:tcW w:w="1587" w:type="dxa"/>
            <w:tcBorders>
              <w:top w:val="nil"/>
              <w:left w:val="nil"/>
              <w:bottom w:val="single" w:sz="12" w:space="0" w:color="auto"/>
              <w:right w:val="single" w:sz="8" w:space="0" w:color="auto"/>
            </w:tcBorders>
            <w:shd w:val="clear" w:color="auto" w:fill="auto"/>
            <w:vAlign w:val="center"/>
            <w:hideMark/>
          </w:tcPr>
          <w:p w14:paraId="51347759" w14:textId="77777777" w:rsidR="00D7537F" w:rsidRPr="00DC64E0" w:rsidRDefault="00D7537F" w:rsidP="00D7537F">
            <w:pPr>
              <w:spacing w:line="240" w:lineRule="auto"/>
              <w:jc w:val="right"/>
              <w:rPr>
                <w:rFonts w:ascii="Calibri" w:hAnsi="Calibri"/>
                <w:sz w:val="22"/>
                <w:szCs w:val="22"/>
              </w:rPr>
            </w:pPr>
            <w:r w:rsidRPr="00DC64E0">
              <w:rPr>
                <w:rFonts w:ascii="Calibri" w:hAnsi="Calibri"/>
                <w:sz w:val="22"/>
                <w:szCs w:val="22"/>
              </w:rPr>
              <w:t>499 901 000</w:t>
            </w:r>
          </w:p>
        </w:tc>
        <w:tc>
          <w:tcPr>
            <w:tcW w:w="1390" w:type="dxa"/>
            <w:tcBorders>
              <w:top w:val="nil"/>
              <w:left w:val="nil"/>
              <w:bottom w:val="single" w:sz="12" w:space="0" w:color="auto"/>
              <w:right w:val="single" w:sz="8" w:space="0" w:color="auto"/>
            </w:tcBorders>
            <w:shd w:val="clear" w:color="auto" w:fill="auto"/>
            <w:vAlign w:val="center"/>
            <w:hideMark/>
          </w:tcPr>
          <w:p w14:paraId="5134775A" w14:textId="77777777" w:rsidR="00D7537F" w:rsidRPr="00DC64E0" w:rsidRDefault="00D7537F" w:rsidP="00D7537F">
            <w:pPr>
              <w:spacing w:line="240" w:lineRule="auto"/>
              <w:jc w:val="right"/>
              <w:rPr>
                <w:rFonts w:ascii="Calibri" w:hAnsi="Calibri"/>
                <w:sz w:val="22"/>
                <w:szCs w:val="22"/>
              </w:rPr>
            </w:pPr>
            <w:r w:rsidRPr="00DC64E0">
              <w:rPr>
                <w:rFonts w:ascii="Calibri" w:hAnsi="Calibri"/>
                <w:sz w:val="22"/>
                <w:szCs w:val="22"/>
              </w:rPr>
              <w:t>512 223 000</w:t>
            </w:r>
          </w:p>
        </w:tc>
        <w:tc>
          <w:tcPr>
            <w:tcW w:w="1417" w:type="dxa"/>
            <w:tcBorders>
              <w:top w:val="nil"/>
              <w:left w:val="nil"/>
              <w:bottom w:val="single" w:sz="12" w:space="0" w:color="auto"/>
              <w:right w:val="single" w:sz="12" w:space="0" w:color="auto"/>
            </w:tcBorders>
            <w:shd w:val="clear" w:color="auto" w:fill="auto"/>
            <w:vAlign w:val="center"/>
            <w:hideMark/>
          </w:tcPr>
          <w:p w14:paraId="5134775B" w14:textId="77777777" w:rsidR="00D7537F" w:rsidRPr="00DC64E0" w:rsidRDefault="00D7537F" w:rsidP="00D7537F">
            <w:pPr>
              <w:spacing w:line="240" w:lineRule="auto"/>
              <w:jc w:val="right"/>
              <w:rPr>
                <w:rFonts w:ascii="Calibri" w:hAnsi="Calibri"/>
                <w:sz w:val="22"/>
                <w:szCs w:val="22"/>
              </w:rPr>
            </w:pPr>
            <w:r w:rsidRPr="00DC64E0">
              <w:rPr>
                <w:rFonts w:ascii="Calibri" w:hAnsi="Calibri"/>
                <w:sz w:val="22"/>
                <w:szCs w:val="22"/>
              </w:rPr>
              <w:t>12 322 000</w:t>
            </w:r>
          </w:p>
        </w:tc>
      </w:tr>
    </w:tbl>
    <w:p w14:paraId="5134775D" w14:textId="77777777" w:rsidR="00D7537F" w:rsidRPr="00DC64E0" w:rsidRDefault="00D7537F" w:rsidP="006B5A30">
      <w:pPr>
        <w:rPr>
          <w:rFonts w:ascii="Times New Roman" w:hAnsi="Times New Roman"/>
        </w:rPr>
      </w:pPr>
    </w:p>
    <w:p w14:paraId="5134775E" w14:textId="77777777" w:rsidR="001B0D66" w:rsidRPr="009B5908" w:rsidRDefault="001B0D66" w:rsidP="003C3B5B">
      <w:pPr>
        <w:spacing w:before="120" w:line="240" w:lineRule="auto"/>
        <w:rPr>
          <w:rFonts w:ascii="Times New Roman" w:hAnsi="Times New Roman"/>
        </w:rPr>
      </w:pPr>
      <w:r w:rsidRPr="009B5908">
        <w:rPr>
          <w:rFonts w:ascii="Times New Roman" w:hAnsi="Times New Roman"/>
        </w:rPr>
        <w:t>Výdaje na výzkum, vývoj a inovace na rok 2016 jsou v</w:t>
      </w:r>
      <w:r w:rsidR="00400D73">
        <w:rPr>
          <w:rFonts w:ascii="Times New Roman" w:hAnsi="Times New Roman"/>
        </w:rPr>
        <w:t xml:space="preserve">e schváleném </w:t>
      </w:r>
      <w:r w:rsidRPr="009B5908">
        <w:rPr>
          <w:rFonts w:ascii="Times New Roman" w:hAnsi="Times New Roman"/>
        </w:rPr>
        <w:t xml:space="preserve">rozpočtu stanoveny v objemu </w:t>
      </w:r>
      <w:r w:rsidR="0007217C" w:rsidRPr="009B5908">
        <w:rPr>
          <w:rFonts w:ascii="Times New Roman" w:hAnsi="Times New Roman"/>
        </w:rPr>
        <w:t>512 223</w:t>
      </w:r>
      <w:r w:rsidRPr="009B5908">
        <w:rPr>
          <w:rFonts w:ascii="Times New Roman" w:hAnsi="Times New Roman"/>
        </w:rPr>
        <w:t xml:space="preserve"> tis. Kč s</w:t>
      </w:r>
      <w:r w:rsidR="0007217C" w:rsidRPr="009B5908">
        <w:rPr>
          <w:rFonts w:ascii="Times New Roman" w:hAnsi="Times New Roman"/>
        </w:rPr>
        <w:t> </w:t>
      </w:r>
      <w:r w:rsidRPr="009B5908">
        <w:rPr>
          <w:rFonts w:ascii="Times New Roman" w:hAnsi="Times New Roman"/>
        </w:rPr>
        <w:t>nárůstem</w:t>
      </w:r>
      <w:r w:rsidR="0007217C" w:rsidRPr="009B5908">
        <w:rPr>
          <w:rFonts w:ascii="Times New Roman" w:hAnsi="Times New Roman"/>
        </w:rPr>
        <w:t xml:space="preserve"> proti schválenému rozpočtu r. 2015</w:t>
      </w:r>
      <w:r w:rsidRPr="009B5908">
        <w:rPr>
          <w:rFonts w:ascii="Times New Roman" w:hAnsi="Times New Roman"/>
        </w:rPr>
        <w:t xml:space="preserve"> o </w:t>
      </w:r>
      <w:r w:rsidR="0007217C" w:rsidRPr="009B5908">
        <w:rPr>
          <w:rFonts w:ascii="Times New Roman" w:hAnsi="Times New Roman"/>
        </w:rPr>
        <w:t>2,4</w:t>
      </w:r>
      <w:r w:rsidR="009274EE" w:rsidRPr="009B5908">
        <w:rPr>
          <w:rFonts w:ascii="Times New Roman" w:hAnsi="Times New Roman"/>
        </w:rPr>
        <w:t xml:space="preserve">6 </w:t>
      </w:r>
      <w:r w:rsidRPr="009B5908">
        <w:rPr>
          <w:rFonts w:ascii="Times New Roman" w:hAnsi="Times New Roman"/>
        </w:rPr>
        <w:t>%, tj. zvýšení o</w:t>
      </w:r>
      <w:r w:rsidR="009B5908" w:rsidRPr="009B5908">
        <w:rPr>
          <w:rFonts w:ascii="Times New Roman" w:hAnsi="Times New Roman"/>
        </w:rPr>
        <w:t> </w:t>
      </w:r>
      <w:r w:rsidR="0007217C" w:rsidRPr="009B5908">
        <w:rPr>
          <w:rFonts w:ascii="Times New Roman" w:hAnsi="Times New Roman"/>
        </w:rPr>
        <w:t>12</w:t>
      </w:r>
      <w:r w:rsidR="009B5908" w:rsidRPr="009B5908">
        <w:rPr>
          <w:rFonts w:ascii="Times New Roman" w:hAnsi="Times New Roman"/>
        </w:rPr>
        <w:t> </w:t>
      </w:r>
      <w:r w:rsidR="0007217C" w:rsidRPr="009B5908">
        <w:rPr>
          <w:rFonts w:ascii="Times New Roman" w:hAnsi="Times New Roman"/>
        </w:rPr>
        <w:t>322</w:t>
      </w:r>
      <w:r w:rsidR="009B5908" w:rsidRPr="009B5908">
        <w:rPr>
          <w:rFonts w:ascii="Times New Roman" w:hAnsi="Times New Roman"/>
        </w:rPr>
        <w:t> </w:t>
      </w:r>
      <w:r w:rsidRPr="009B5908">
        <w:rPr>
          <w:rFonts w:ascii="Times New Roman" w:hAnsi="Times New Roman"/>
        </w:rPr>
        <w:t>tis. Kč. Meziroční nárůst je kumulativně způsoben:</w:t>
      </w:r>
    </w:p>
    <w:p w14:paraId="5134775F" w14:textId="77777777" w:rsidR="00800E42" w:rsidRPr="009B5908" w:rsidRDefault="00800E42" w:rsidP="003C3B5B">
      <w:pPr>
        <w:pStyle w:val="Odstavecseseznamem"/>
        <w:numPr>
          <w:ilvl w:val="0"/>
          <w:numId w:val="6"/>
        </w:numPr>
        <w:spacing w:before="120" w:after="0" w:line="240" w:lineRule="auto"/>
        <w:ind w:left="357" w:hanging="357"/>
        <w:jc w:val="both"/>
        <w:rPr>
          <w:rFonts w:ascii="Times New Roman" w:hAnsi="Times New Roman"/>
          <w:i/>
          <w:sz w:val="24"/>
          <w:szCs w:val="24"/>
        </w:rPr>
      </w:pPr>
      <w:r w:rsidRPr="009B5908">
        <w:rPr>
          <w:rFonts w:ascii="Times New Roman" w:hAnsi="Times New Roman"/>
          <w:sz w:val="24"/>
          <w:szCs w:val="24"/>
        </w:rPr>
        <w:t xml:space="preserve">meziročním snížením účelových výdajů výzkumu a vývoje </w:t>
      </w:r>
      <w:r w:rsidR="00C06A10" w:rsidRPr="009B5908">
        <w:rPr>
          <w:rFonts w:ascii="Times New Roman" w:hAnsi="Times New Roman"/>
          <w:sz w:val="24"/>
          <w:szCs w:val="24"/>
        </w:rPr>
        <w:t xml:space="preserve">o 307 146 tis. Kč </w:t>
      </w:r>
      <w:r w:rsidRPr="009B5908">
        <w:rPr>
          <w:rFonts w:ascii="Times New Roman" w:hAnsi="Times New Roman"/>
          <w:sz w:val="24"/>
          <w:szCs w:val="24"/>
        </w:rPr>
        <w:t>na</w:t>
      </w:r>
      <w:r w:rsidR="009B5908" w:rsidRPr="009B5908">
        <w:rPr>
          <w:rFonts w:ascii="Times New Roman" w:hAnsi="Times New Roman"/>
          <w:sz w:val="24"/>
          <w:szCs w:val="24"/>
        </w:rPr>
        <w:t> </w:t>
      </w:r>
      <w:r w:rsidRPr="009B5908">
        <w:rPr>
          <w:rFonts w:ascii="Times New Roman" w:hAnsi="Times New Roman"/>
          <w:sz w:val="24"/>
          <w:szCs w:val="24"/>
        </w:rPr>
        <w:t xml:space="preserve">výzkumný program s kódem DF – Program aplikovaného výzkumu a vývoje národní </w:t>
      </w:r>
      <w:r w:rsidR="00C919F6" w:rsidRPr="009B5908">
        <w:rPr>
          <w:rFonts w:ascii="Times New Roman" w:hAnsi="Times New Roman"/>
        </w:rPr>
        <w:br/>
      </w:r>
      <w:r w:rsidRPr="009B5908">
        <w:rPr>
          <w:rFonts w:ascii="Times New Roman" w:hAnsi="Times New Roman"/>
          <w:sz w:val="24"/>
          <w:szCs w:val="24"/>
        </w:rPr>
        <w:t>a kulturní identity (NAKI), který byl schválen usnesením vlády č. 880/2009 na léta</w:t>
      </w:r>
      <w:r w:rsidR="00060EF8" w:rsidRPr="009B5908">
        <w:rPr>
          <w:rFonts w:ascii="Times New Roman" w:hAnsi="Times New Roman"/>
        </w:rPr>
        <w:br/>
      </w:r>
      <w:r w:rsidRPr="009B5908">
        <w:rPr>
          <w:rFonts w:ascii="Times New Roman" w:hAnsi="Times New Roman"/>
          <w:sz w:val="24"/>
          <w:szCs w:val="24"/>
        </w:rPr>
        <w:t xml:space="preserve">2011 – 2017, v 6. roce trvání. Tento pokles vyplývá z přijatých závazků na projekty vybrané k podpoře ve veřejných soutěžích ve výzkumu, experimentálním vývoji </w:t>
      </w:r>
      <w:r w:rsidR="00060EF8" w:rsidRPr="009B5908">
        <w:rPr>
          <w:rFonts w:ascii="Times New Roman" w:hAnsi="Times New Roman"/>
        </w:rPr>
        <w:br/>
      </w:r>
      <w:r w:rsidRPr="009B5908">
        <w:rPr>
          <w:rFonts w:ascii="Times New Roman" w:hAnsi="Times New Roman"/>
          <w:sz w:val="24"/>
          <w:szCs w:val="24"/>
        </w:rPr>
        <w:t xml:space="preserve">a inovacích (VS) na léta 2011, 2012 a 2013. V roce 2015 jsou přijaté závazky </w:t>
      </w:r>
      <w:r w:rsidR="00310E28" w:rsidRPr="009B5908">
        <w:rPr>
          <w:rFonts w:ascii="Times New Roman" w:hAnsi="Times New Roman"/>
        </w:rPr>
        <w:br/>
      </w:r>
      <w:r w:rsidRPr="009B5908">
        <w:rPr>
          <w:rFonts w:ascii="Times New Roman" w:hAnsi="Times New Roman"/>
          <w:sz w:val="24"/>
          <w:szCs w:val="24"/>
        </w:rPr>
        <w:t xml:space="preserve">za 105 běžících projektů v objemu 374 342 tis. Kč, pro rok 2016 budou přijaté závazky </w:t>
      </w:r>
      <w:r w:rsidR="00310E28" w:rsidRPr="009B5908">
        <w:rPr>
          <w:rFonts w:ascii="Times New Roman" w:hAnsi="Times New Roman"/>
        </w:rPr>
        <w:br/>
      </w:r>
      <w:r w:rsidRPr="009B5908">
        <w:rPr>
          <w:rFonts w:ascii="Times New Roman" w:hAnsi="Times New Roman"/>
          <w:sz w:val="24"/>
          <w:szCs w:val="24"/>
        </w:rPr>
        <w:t>za 19 projektů, jejichž řešení bude pokračovat i v r. 2016 (zbývajících 86 končí v r. 2015</w:t>
      </w:r>
      <w:r w:rsidRPr="009B5908">
        <w:rPr>
          <w:rFonts w:ascii="Times New Roman" w:hAnsi="Times New Roman"/>
          <w:i/>
          <w:sz w:val="24"/>
          <w:szCs w:val="24"/>
        </w:rPr>
        <w:t xml:space="preserve">) </w:t>
      </w:r>
      <w:r w:rsidRPr="009B5908">
        <w:rPr>
          <w:rFonts w:ascii="Times New Roman" w:hAnsi="Times New Roman"/>
          <w:sz w:val="24"/>
          <w:szCs w:val="24"/>
        </w:rPr>
        <w:t>v objemu 67</w:t>
      </w:r>
      <w:r w:rsidR="00AE5759" w:rsidRPr="009B5908">
        <w:rPr>
          <w:rFonts w:ascii="Times New Roman" w:hAnsi="Times New Roman"/>
          <w:sz w:val="24"/>
          <w:szCs w:val="24"/>
        </w:rPr>
        <w:t xml:space="preserve"> 196</w:t>
      </w:r>
      <w:r w:rsidRPr="009B5908">
        <w:rPr>
          <w:rFonts w:ascii="Times New Roman" w:hAnsi="Times New Roman"/>
          <w:sz w:val="24"/>
          <w:szCs w:val="24"/>
        </w:rPr>
        <w:t xml:space="preserve"> tis. Kč. Po roce 2013 již nebyla k programu NAKI vyhlašována další kola VS, neboť objemy nealokovaných prostředků programu NAKI předchozími VS neumožňovaly smysluplné</w:t>
      </w:r>
      <w:r w:rsidR="00C919F6" w:rsidRPr="009B5908">
        <w:rPr>
          <w:rFonts w:ascii="Times New Roman" w:hAnsi="Times New Roman"/>
          <w:sz w:val="24"/>
          <w:szCs w:val="24"/>
        </w:rPr>
        <w:t xml:space="preserve"> </w:t>
      </w:r>
      <w:r w:rsidRPr="009B5908">
        <w:rPr>
          <w:rFonts w:ascii="Times New Roman" w:hAnsi="Times New Roman"/>
          <w:sz w:val="24"/>
          <w:szCs w:val="24"/>
        </w:rPr>
        <w:t>a účelné rozdělení další veřejnou soutěží;</w:t>
      </w:r>
    </w:p>
    <w:p w14:paraId="51347760" w14:textId="77777777" w:rsidR="00800E42" w:rsidRPr="009B5908" w:rsidRDefault="00800E42" w:rsidP="003C3B5B">
      <w:pPr>
        <w:pStyle w:val="Odstavecseseznamem"/>
        <w:numPr>
          <w:ilvl w:val="0"/>
          <w:numId w:val="6"/>
        </w:numPr>
        <w:spacing w:before="120" w:after="0" w:line="240" w:lineRule="auto"/>
        <w:ind w:left="357" w:hanging="357"/>
        <w:jc w:val="both"/>
        <w:rPr>
          <w:rFonts w:ascii="Times New Roman" w:hAnsi="Times New Roman"/>
          <w:i/>
          <w:sz w:val="24"/>
          <w:szCs w:val="24"/>
        </w:rPr>
      </w:pPr>
      <w:r w:rsidRPr="009B5908">
        <w:rPr>
          <w:rFonts w:ascii="Times New Roman" w:hAnsi="Times New Roman"/>
          <w:sz w:val="24"/>
          <w:szCs w:val="24"/>
        </w:rPr>
        <w:t xml:space="preserve">meziročním zvýšením účelových výdajů výzkumu a vývoje </w:t>
      </w:r>
      <w:r w:rsidR="00C06A10" w:rsidRPr="009B5908">
        <w:rPr>
          <w:rFonts w:ascii="Times New Roman" w:hAnsi="Times New Roman"/>
          <w:sz w:val="24"/>
          <w:szCs w:val="24"/>
        </w:rPr>
        <w:t xml:space="preserve">o 357 804 tis. Kč </w:t>
      </w:r>
      <w:r w:rsidRPr="009B5908">
        <w:rPr>
          <w:rFonts w:ascii="Times New Roman" w:hAnsi="Times New Roman"/>
          <w:sz w:val="24"/>
          <w:szCs w:val="24"/>
        </w:rPr>
        <w:t>na nový výzkumný program s kódem DG – Program na podporu aplikovaného výzkumu a vývoje národní a kulturní identity na léta 2016 až 2022 (NAKI II), který byl schválen usnesením vlády č</w:t>
      </w:r>
      <w:r w:rsidR="00657763" w:rsidRPr="009B5908">
        <w:rPr>
          <w:rFonts w:ascii="Times New Roman" w:hAnsi="Times New Roman"/>
          <w:sz w:val="24"/>
          <w:szCs w:val="24"/>
        </w:rPr>
        <w:t xml:space="preserve">. </w:t>
      </w:r>
      <w:r w:rsidR="00E50529" w:rsidRPr="009B5908">
        <w:rPr>
          <w:rFonts w:ascii="Times New Roman" w:hAnsi="Times New Roman"/>
          <w:sz w:val="24"/>
          <w:szCs w:val="24"/>
        </w:rPr>
        <w:t>11</w:t>
      </w:r>
      <w:r w:rsidR="00657763" w:rsidRPr="009B5908">
        <w:rPr>
          <w:rFonts w:ascii="Times New Roman" w:hAnsi="Times New Roman"/>
          <w:sz w:val="24"/>
          <w:szCs w:val="24"/>
        </w:rPr>
        <w:t xml:space="preserve"> ze dne 2. </w:t>
      </w:r>
      <w:r w:rsidR="00AE5759" w:rsidRPr="009B5908">
        <w:rPr>
          <w:rFonts w:ascii="Times New Roman" w:hAnsi="Times New Roman"/>
          <w:sz w:val="24"/>
          <w:szCs w:val="24"/>
        </w:rPr>
        <w:t>l</w:t>
      </w:r>
      <w:r w:rsidR="00657763" w:rsidRPr="009B5908">
        <w:rPr>
          <w:rFonts w:ascii="Times New Roman" w:hAnsi="Times New Roman"/>
          <w:sz w:val="24"/>
          <w:szCs w:val="24"/>
        </w:rPr>
        <w:t>edna 2014, v prvním roce trvání. Dne 16. 3. 2015 byla vyhlášena první veřejná soutěž k programu NAKI II o podporu projektů začínajících v r. 2016 (uzávěrka byla dne 4. 5., vyhlášení výsledků do 21. 12. 2015);</w:t>
      </w:r>
    </w:p>
    <w:p w14:paraId="51347761" w14:textId="77777777" w:rsidR="00657763" w:rsidRPr="009B5908" w:rsidRDefault="00657763" w:rsidP="003C3B5B">
      <w:pPr>
        <w:pStyle w:val="Odstavecseseznamem"/>
        <w:numPr>
          <w:ilvl w:val="0"/>
          <w:numId w:val="6"/>
        </w:numPr>
        <w:spacing w:before="120" w:after="0" w:line="240" w:lineRule="auto"/>
        <w:jc w:val="both"/>
        <w:rPr>
          <w:rFonts w:ascii="Times New Roman" w:hAnsi="Times New Roman"/>
          <w:i/>
          <w:sz w:val="24"/>
          <w:szCs w:val="24"/>
        </w:rPr>
      </w:pPr>
      <w:r w:rsidRPr="009B5908">
        <w:rPr>
          <w:rFonts w:ascii="Times New Roman" w:hAnsi="Times New Roman"/>
          <w:sz w:val="24"/>
          <w:szCs w:val="24"/>
        </w:rPr>
        <w:t xml:space="preserve">meziročním snížením institucionálních výdajů výzkumu a vývoje </w:t>
      </w:r>
      <w:r w:rsidR="00C06A10" w:rsidRPr="009B5908">
        <w:rPr>
          <w:rFonts w:ascii="Times New Roman" w:hAnsi="Times New Roman"/>
          <w:sz w:val="24"/>
          <w:szCs w:val="24"/>
        </w:rPr>
        <w:t xml:space="preserve">o 38 336 tis. Kč </w:t>
      </w:r>
      <w:r w:rsidRPr="009B5908">
        <w:rPr>
          <w:rFonts w:ascii="Times New Roman" w:hAnsi="Times New Roman"/>
          <w:sz w:val="24"/>
          <w:szCs w:val="24"/>
        </w:rPr>
        <w:t>na</w:t>
      </w:r>
      <w:r w:rsidR="003E6D51">
        <w:rPr>
          <w:rFonts w:ascii="Times New Roman" w:hAnsi="Times New Roman"/>
          <w:sz w:val="24"/>
          <w:szCs w:val="24"/>
        </w:rPr>
        <w:t> </w:t>
      </w:r>
      <w:r w:rsidRPr="009B5908">
        <w:rPr>
          <w:rFonts w:ascii="Times New Roman" w:hAnsi="Times New Roman"/>
          <w:sz w:val="24"/>
          <w:szCs w:val="24"/>
        </w:rPr>
        <w:t xml:space="preserve">dlouhodobý koncepční rozvoj výzkumných organizací v působnosti MK na základě zhodnocení jimi dosažených výsledků výzkumu, vývoje a inovací dle návrhu RVVI. Toto snížení je dáno jednorázovým navýšením výdajů pouze v r. 2015 o 50 604 tis. Kč </w:t>
      </w:r>
      <w:r w:rsidR="002A134A" w:rsidRPr="009B5908">
        <w:rPr>
          <w:rFonts w:ascii="Times New Roman" w:hAnsi="Times New Roman"/>
        </w:rPr>
        <w:br/>
      </w:r>
      <w:r w:rsidRPr="009B5908">
        <w:rPr>
          <w:rFonts w:ascii="Times New Roman" w:hAnsi="Times New Roman"/>
          <w:sz w:val="24"/>
          <w:szCs w:val="24"/>
        </w:rPr>
        <w:t>(v r. 2014 byly tyto výdaje 72 558 tis. Kč, čili ve srovnání let 2014 a 2016 jde o navýšení o 12 332 tis. Kč). Institucionální výdaje na hodnocení výzkumných aktivit a realizaci veřejných soutěží ve výzkumu, experimentálním vývoji a inovacích zůstaly zachovány ve</w:t>
      </w:r>
      <w:r w:rsidR="00D152F9" w:rsidRPr="009B5908">
        <w:rPr>
          <w:rFonts w:ascii="Times New Roman" w:hAnsi="Times New Roman"/>
          <w:sz w:val="24"/>
          <w:szCs w:val="24"/>
        </w:rPr>
        <w:t> </w:t>
      </w:r>
      <w:r w:rsidRPr="009B5908">
        <w:rPr>
          <w:rFonts w:ascii="Times New Roman" w:hAnsi="Times New Roman"/>
          <w:sz w:val="24"/>
          <w:szCs w:val="24"/>
        </w:rPr>
        <w:t>stejné výši (2 343 tis. Kč).</w:t>
      </w:r>
    </w:p>
    <w:p w14:paraId="51347762" w14:textId="77777777" w:rsidR="00657763" w:rsidRPr="009B5908" w:rsidRDefault="00657763" w:rsidP="00060EF8">
      <w:pPr>
        <w:spacing w:before="120" w:line="240" w:lineRule="auto"/>
        <w:rPr>
          <w:rFonts w:ascii="Times New Roman" w:hAnsi="Times New Roman"/>
          <w:szCs w:val="24"/>
        </w:rPr>
      </w:pPr>
      <w:r w:rsidRPr="009B5908">
        <w:rPr>
          <w:rFonts w:ascii="Times New Roman" w:hAnsi="Times New Roman"/>
          <w:szCs w:val="24"/>
        </w:rPr>
        <w:t>Bez jednorázového navýšení institucionálních výdajů v r. 2015 je nárůst výdajů na</w:t>
      </w:r>
      <w:r w:rsidR="00D152F9" w:rsidRPr="009B5908">
        <w:rPr>
          <w:rFonts w:ascii="Times New Roman" w:hAnsi="Times New Roman"/>
          <w:szCs w:val="24"/>
        </w:rPr>
        <w:t> </w:t>
      </w:r>
      <w:r w:rsidRPr="009B5908">
        <w:rPr>
          <w:rFonts w:ascii="Times New Roman" w:hAnsi="Times New Roman"/>
          <w:szCs w:val="24"/>
        </w:rPr>
        <w:t xml:space="preserve">dlouhodobý koncepční rozvoj výzkumných organizací v působnosti MK o 12 332 tis. Kč shodný s navýšením výdajů kapitoly Ministerstvo kultury na výzkum a vývoj (tj. účelové prostředky na programy NAKI a NAKI II zůstaly celkově zachovány na stejné výši) </w:t>
      </w:r>
      <w:r w:rsidR="002A134A" w:rsidRPr="009B5908">
        <w:rPr>
          <w:rFonts w:ascii="Times New Roman" w:hAnsi="Times New Roman"/>
        </w:rPr>
        <w:br/>
      </w:r>
      <w:r w:rsidRPr="009B5908">
        <w:rPr>
          <w:rFonts w:ascii="Times New Roman" w:hAnsi="Times New Roman"/>
          <w:szCs w:val="24"/>
        </w:rPr>
        <w:t xml:space="preserve">a vyplývá z celkového navýšení výdajů pro všechny výzkumné organizace všech poskytovatelů, které vláda schválila svým usnesením č. 380 ze dne 25. 5. 2015, k návrhu </w:t>
      </w:r>
      <w:r w:rsidRPr="009B5908">
        <w:rPr>
          <w:rFonts w:ascii="Times New Roman" w:hAnsi="Times New Roman"/>
          <w:szCs w:val="24"/>
        </w:rPr>
        <w:lastRenderedPageBreak/>
        <w:t xml:space="preserve">výdajů státního rozpočtu České republiky </w:t>
      </w:r>
      <w:r w:rsidR="00E50529" w:rsidRPr="009B5908">
        <w:rPr>
          <w:rFonts w:ascii="Times New Roman" w:hAnsi="Times New Roman"/>
          <w:szCs w:val="24"/>
        </w:rPr>
        <w:t>na výzkum, experimentální vývoj a inovace na rok 2016 s výhledem na léta 2017 a 2018.</w:t>
      </w:r>
    </w:p>
    <w:p w14:paraId="51347763" w14:textId="77777777" w:rsidR="00E50529" w:rsidRPr="009B5908" w:rsidRDefault="00E50529" w:rsidP="003C3B5B">
      <w:pPr>
        <w:spacing w:before="120" w:line="240" w:lineRule="auto"/>
        <w:rPr>
          <w:rFonts w:ascii="Times New Roman" w:hAnsi="Times New Roman"/>
          <w:szCs w:val="24"/>
        </w:rPr>
      </w:pPr>
      <w:r w:rsidRPr="009B5908">
        <w:rPr>
          <w:rFonts w:ascii="Times New Roman" w:hAnsi="Times New Roman"/>
          <w:szCs w:val="24"/>
        </w:rPr>
        <w:t>Výdaje na výzkum, vývoj a inovace v r. 2016 jsou v oblasti účelových výdajů určeny na</w:t>
      </w:r>
      <w:r w:rsidR="00D152F9" w:rsidRPr="009B5908">
        <w:rPr>
          <w:rFonts w:ascii="Times New Roman" w:hAnsi="Times New Roman"/>
          <w:szCs w:val="24"/>
        </w:rPr>
        <w:t> </w:t>
      </w:r>
      <w:r w:rsidRPr="009B5908">
        <w:rPr>
          <w:rFonts w:ascii="Times New Roman" w:hAnsi="Times New Roman"/>
          <w:szCs w:val="24"/>
        </w:rPr>
        <w:t xml:space="preserve">realizaci dvou meziresortních programů – Programu aplikovaného výzkumu a vývoje národní </w:t>
      </w:r>
      <w:r w:rsidR="00AE5759" w:rsidRPr="009B5908">
        <w:rPr>
          <w:rFonts w:ascii="Times New Roman" w:hAnsi="Times New Roman"/>
          <w:szCs w:val="24"/>
        </w:rPr>
        <w:t xml:space="preserve">a </w:t>
      </w:r>
      <w:r w:rsidRPr="009B5908">
        <w:rPr>
          <w:rFonts w:ascii="Times New Roman" w:hAnsi="Times New Roman"/>
          <w:szCs w:val="24"/>
        </w:rPr>
        <w:t>kulturní identity (NAKI) v celkovém objemu</w:t>
      </w:r>
      <w:r w:rsidR="00AE5759" w:rsidRPr="009B5908">
        <w:rPr>
          <w:rFonts w:ascii="Times New Roman" w:hAnsi="Times New Roman"/>
          <w:szCs w:val="24"/>
        </w:rPr>
        <w:t xml:space="preserve"> 67 196 tis. Kč a Programu na podporu aplikovaného výzkumu a experimentálního vývoje národní a kulturní identity na léta 2016</w:t>
      </w:r>
      <w:r w:rsidR="0063168E" w:rsidRPr="009B5908">
        <w:rPr>
          <w:rFonts w:ascii="Times New Roman" w:hAnsi="Times New Roman"/>
        </w:rPr>
        <w:br/>
      </w:r>
      <w:r w:rsidR="00AE5759" w:rsidRPr="009B5908">
        <w:rPr>
          <w:rFonts w:ascii="Times New Roman" w:hAnsi="Times New Roman"/>
          <w:szCs w:val="24"/>
        </w:rPr>
        <w:t>až 20</w:t>
      </w:r>
      <w:r w:rsidR="007C278B" w:rsidRPr="009B5908">
        <w:rPr>
          <w:rFonts w:ascii="Times New Roman" w:hAnsi="Times New Roman"/>
          <w:szCs w:val="24"/>
        </w:rPr>
        <w:t>22</w:t>
      </w:r>
      <w:r w:rsidR="00AE5759" w:rsidRPr="009B5908">
        <w:rPr>
          <w:rFonts w:ascii="Times New Roman" w:hAnsi="Times New Roman"/>
          <w:szCs w:val="24"/>
        </w:rPr>
        <w:t xml:space="preserve"> (NAKI II) v celkovém objemu </w:t>
      </w:r>
      <w:r w:rsidRPr="009B5908">
        <w:rPr>
          <w:rFonts w:ascii="Times New Roman" w:hAnsi="Times New Roman"/>
          <w:szCs w:val="24"/>
        </w:rPr>
        <w:t xml:space="preserve">357 804 tis. Kč. </w:t>
      </w:r>
      <w:r w:rsidR="003E6D51">
        <w:rPr>
          <w:rFonts w:ascii="Times New Roman" w:hAnsi="Times New Roman"/>
          <w:szCs w:val="24"/>
        </w:rPr>
        <w:t xml:space="preserve">Rozpočet </w:t>
      </w:r>
      <w:r w:rsidRPr="009B5908">
        <w:rPr>
          <w:rFonts w:ascii="Times New Roman" w:hAnsi="Times New Roman"/>
          <w:szCs w:val="24"/>
        </w:rPr>
        <w:t>pokrývá závazky vyplývající z běžících projektů NAKI v letech 2016 a 2017 a zohledňuje objemy výdajů let 2016, 2017</w:t>
      </w:r>
      <w:r w:rsidR="003E6D51">
        <w:rPr>
          <w:rFonts w:ascii="Times New Roman" w:hAnsi="Times New Roman"/>
          <w:szCs w:val="24"/>
        </w:rPr>
        <w:t xml:space="preserve"> </w:t>
      </w:r>
      <w:r w:rsidRPr="009B5908">
        <w:rPr>
          <w:rFonts w:ascii="Times New Roman" w:hAnsi="Times New Roman"/>
          <w:szCs w:val="24"/>
        </w:rPr>
        <w:t>a 2018 vládou schváleného programu NAKI II.</w:t>
      </w:r>
    </w:p>
    <w:p w14:paraId="51347764" w14:textId="77777777" w:rsidR="00E50529" w:rsidRPr="009B5908" w:rsidRDefault="00E50529" w:rsidP="003C3B5B">
      <w:pPr>
        <w:spacing w:before="120" w:line="240" w:lineRule="auto"/>
        <w:rPr>
          <w:rFonts w:ascii="Times New Roman" w:hAnsi="Times New Roman"/>
          <w:szCs w:val="24"/>
        </w:rPr>
      </w:pPr>
      <w:r w:rsidRPr="009B5908">
        <w:rPr>
          <w:rFonts w:ascii="Times New Roman" w:hAnsi="Times New Roman"/>
          <w:szCs w:val="24"/>
        </w:rPr>
        <w:t>Výdaje na výzkum, vývoj a inovace jsou v oblasti institucionálních výdajů v r</w:t>
      </w:r>
      <w:r w:rsidR="003E6D51">
        <w:rPr>
          <w:rFonts w:ascii="Times New Roman" w:hAnsi="Times New Roman"/>
          <w:szCs w:val="24"/>
        </w:rPr>
        <w:t>oce</w:t>
      </w:r>
      <w:r w:rsidRPr="009B5908">
        <w:rPr>
          <w:rFonts w:ascii="Times New Roman" w:hAnsi="Times New Roman"/>
          <w:szCs w:val="24"/>
        </w:rPr>
        <w:t xml:space="preserve"> 201</w:t>
      </w:r>
      <w:r w:rsidR="00AE5759" w:rsidRPr="009B5908">
        <w:rPr>
          <w:rFonts w:ascii="Times New Roman" w:hAnsi="Times New Roman"/>
          <w:szCs w:val="24"/>
        </w:rPr>
        <w:t xml:space="preserve">6 </w:t>
      </w:r>
      <w:r w:rsidRPr="009B5908">
        <w:rPr>
          <w:rFonts w:ascii="Times New Roman" w:hAnsi="Times New Roman"/>
          <w:szCs w:val="24"/>
        </w:rPr>
        <w:t>určeny na podporu dlouhodobého koncepčního rozvoje výzkumných organizací (DKRVO), u</w:t>
      </w:r>
      <w:r w:rsidR="003E6D51">
        <w:rPr>
          <w:rFonts w:ascii="Times New Roman" w:hAnsi="Times New Roman"/>
          <w:szCs w:val="24"/>
        </w:rPr>
        <w:t> </w:t>
      </w:r>
      <w:r w:rsidRPr="009B5908">
        <w:rPr>
          <w:rFonts w:ascii="Times New Roman" w:hAnsi="Times New Roman"/>
          <w:szCs w:val="24"/>
        </w:rPr>
        <w:t>kterých je M</w:t>
      </w:r>
      <w:r w:rsidR="003E6D51">
        <w:rPr>
          <w:rFonts w:ascii="Times New Roman" w:hAnsi="Times New Roman"/>
          <w:szCs w:val="24"/>
        </w:rPr>
        <w:t xml:space="preserve">inisterstvo kultury </w:t>
      </w:r>
      <w:r w:rsidRPr="009B5908">
        <w:rPr>
          <w:rFonts w:ascii="Times New Roman" w:hAnsi="Times New Roman"/>
          <w:szCs w:val="24"/>
        </w:rPr>
        <w:t>zřizovatelem a mají platný statut výzkumných organizací (Husitské muzeum v Táboře, Institut umění - Divadelní ústav, Moravská galerie v Brně, Moravská zemská knihovna v Brně, Moravské zemské muzeum, Národní filmový archiv, Národní galerie v Praze, Národní informační a poradenské středisko pro kulturu, Národní knihovna České republiky, Národní muzeum, Národní památkový ústav, Národní technické museum, Národní ústav lidové kultury, Památník národního písemnictví, Slezské zemské muzeum, Technické muzeum v Brně, Uměleckoprůmyslové museum v Praze, Valašské muzeum v přírodě v Rožnově pod Radhoštěm</w:t>
      </w:r>
      <w:r w:rsidR="00AE5759" w:rsidRPr="009B5908">
        <w:rPr>
          <w:rFonts w:ascii="Times New Roman" w:hAnsi="Times New Roman"/>
          <w:szCs w:val="24"/>
        </w:rPr>
        <w:t>)</w:t>
      </w:r>
      <w:r w:rsidRPr="009B5908">
        <w:rPr>
          <w:rFonts w:ascii="Times New Roman" w:hAnsi="Times New Roman"/>
          <w:szCs w:val="24"/>
        </w:rPr>
        <w:t xml:space="preserve"> v celkovém objemu 84 880 tis. Kč. Dále jsou institucionální výdaje v objemu 2 343 tis. Kč určeny na hodnocení výzkumných aktivit z realizovaných veřejných soutěží ve výzkumu, experimentálním vývoji a inovacích. Celkové institucionální výdaje na rok 201</w:t>
      </w:r>
      <w:r w:rsidR="00AE5759" w:rsidRPr="009B5908">
        <w:rPr>
          <w:rFonts w:ascii="Times New Roman" w:hAnsi="Times New Roman"/>
          <w:szCs w:val="24"/>
        </w:rPr>
        <w:t>6</w:t>
      </w:r>
      <w:r w:rsidRPr="009B5908">
        <w:rPr>
          <w:rFonts w:ascii="Times New Roman" w:hAnsi="Times New Roman"/>
          <w:szCs w:val="24"/>
        </w:rPr>
        <w:t xml:space="preserve"> jsou </w:t>
      </w:r>
      <w:r w:rsidR="003E6D51">
        <w:rPr>
          <w:rFonts w:ascii="Times New Roman" w:hAnsi="Times New Roman"/>
          <w:szCs w:val="24"/>
        </w:rPr>
        <w:t xml:space="preserve">rozpočtovány </w:t>
      </w:r>
      <w:r w:rsidRPr="009B5908">
        <w:rPr>
          <w:rFonts w:ascii="Times New Roman" w:hAnsi="Times New Roman"/>
          <w:szCs w:val="24"/>
        </w:rPr>
        <w:t>v objemu 87 223 tis. Kč.</w:t>
      </w:r>
    </w:p>
    <w:p w14:paraId="51347765" w14:textId="77777777" w:rsidR="00E50529" w:rsidRPr="009B5908" w:rsidRDefault="00E50529" w:rsidP="00F86015">
      <w:pPr>
        <w:pStyle w:val="odstavec"/>
        <w:spacing w:before="120" w:line="240" w:lineRule="auto"/>
        <w:ind w:left="0"/>
        <w:rPr>
          <w:rFonts w:ascii="Times New Roman" w:hAnsi="Times New Roman"/>
          <w:szCs w:val="24"/>
        </w:rPr>
      </w:pPr>
      <w:r w:rsidRPr="009B5908">
        <w:rPr>
          <w:rFonts w:ascii="Times New Roman" w:hAnsi="Times New Roman"/>
          <w:szCs w:val="24"/>
        </w:rPr>
        <w:t xml:space="preserve">Výše uvedené výzkumné aktivity se vztahují k oblasti památkové péče; movitého kulturního dědictví, muzeí a galerií; knihoven; umění a regionální a národnostní kultury </w:t>
      </w:r>
      <w:r w:rsidRPr="009B5908">
        <w:rPr>
          <w:rFonts w:ascii="Times New Roman" w:hAnsi="Times New Roman"/>
          <w:szCs w:val="24"/>
        </w:rPr>
        <w:br/>
        <w:t>a v případě programů NAKI a NAKI II k oblasti definované Národním referenčním rámcem excelence, který je vymezen Reformou systému výzkumu, vývoje a inovací v České republice schválenou usnesením vlády č. 287/2008.</w:t>
      </w:r>
    </w:p>
    <w:p w14:paraId="51347766" w14:textId="77777777" w:rsidR="006B5A30" w:rsidRPr="003358AF" w:rsidRDefault="006B5A30" w:rsidP="001D72D6">
      <w:pPr>
        <w:pStyle w:val="Nadpis2"/>
      </w:pPr>
      <w:bookmarkStart w:id="8" w:name="_Toc431911982"/>
      <w:r w:rsidRPr="003358AF">
        <w:t>B. II. Výdaje dle zákona o majetkovém vyrovnání s církvemi a náboženskými společnostmi</w:t>
      </w:r>
      <w:bookmarkEnd w:id="8"/>
    </w:p>
    <w:p w14:paraId="51347767" w14:textId="77777777" w:rsidR="00217597" w:rsidRPr="00F86015" w:rsidRDefault="009274EE" w:rsidP="009274EE">
      <w:pPr>
        <w:ind w:left="7788" w:firstLine="708"/>
        <w:rPr>
          <w:rFonts w:ascii="Times New Roman" w:hAnsi="Times New Roman"/>
          <w:sz w:val="20"/>
        </w:rPr>
      </w:pPr>
      <w:r w:rsidRPr="00F86015">
        <w:rPr>
          <w:rFonts w:ascii="Times New Roman" w:hAnsi="Times New Roman"/>
          <w:sz w:val="20"/>
        </w:rPr>
        <w:t>v Kč</w:t>
      </w:r>
    </w:p>
    <w:tbl>
      <w:tblPr>
        <w:tblW w:w="8946" w:type="dxa"/>
        <w:tblInd w:w="55" w:type="dxa"/>
        <w:tblCellMar>
          <w:left w:w="70" w:type="dxa"/>
          <w:right w:w="70" w:type="dxa"/>
        </w:tblCellMar>
        <w:tblLook w:val="04A0" w:firstRow="1" w:lastRow="0" w:firstColumn="1" w:lastColumn="0" w:noHBand="0" w:noVBand="1"/>
      </w:tblPr>
      <w:tblGrid>
        <w:gridCol w:w="380"/>
        <w:gridCol w:w="3888"/>
        <w:gridCol w:w="1701"/>
        <w:gridCol w:w="1559"/>
        <w:gridCol w:w="1418"/>
      </w:tblGrid>
      <w:tr w:rsidR="00015522" w:rsidRPr="009B5908" w14:paraId="5134776D" w14:textId="77777777" w:rsidTr="00FA387B">
        <w:trPr>
          <w:trHeight w:val="600"/>
        </w:trPr>
        <w:tc>
          <w:tcPr>
            <w:tcW w:w="4268" w:type="dxa"/>
            <w:gridSpan w:val="2"/>
            <w:tcBorders>
              <w:top w:val="single" w:sz="12" w:space="0" w:color="auto"/>
              <w:left w:val="single" w:sz="12" w:space="0" w:color="auto"/>
              <w:bottom w:val="single" w:sz="12" w:space="0" w:color="auto"/>
              <w:right w:val="single" w:sz="8" w:space="0" w:color="000000"/>
            </w:tcBorders>
            <w:shd w:val="clear" w:color="auto" w:fill="auto"/>
            <w:vAlign w:val="center"/>
            <w:hideMark/>
          </w:tcPr>
          <w:p w14:paraId="51347768" w14:textId="77777777" w:rsidR="00015522" w:rsidRPr="009B5908" w:rsidRDefault="00015522" w:rsidP="009274EE">
            <w:pPr>
              <w:spacing w:line="240" w:lineRule="auto"/>
              <w:ind w:firstLine="708"/>
              <w:jc w:val="center"/>
              <w:rPr>
                <w:rFonts w:ascii="Calibri" w:hAnsi="Calibri"/>
                <w:b/>
                <w:bCs/>
                <w:sz w:val="22"/>
                <w:szCs w:val="22"/>
              </w:rPr>
            </w:pPr>
            <w:r w:rsidRPr="009B5908">
              <w:rPr>
                <w:rFonts w:ascii="Calibri" w:hAnsi="Calibri"/>
                <w:b/>
                <w:bCs/>
                <w:sz w:val="22"/>
                <w:szCs w:val="22"/>
              </w:rPr>
              <w:t>Výdajový blok</w:t>
            </w:r>
            <w:r>
              <w:rPr>
                <w:rFonts w:ascii="Calibri" w:hAnsi="Calibri"/>
                <w:b/>
                <w:bCs/>
                <w:sz w:val="22"/>
                <w:szCs w:val="22"/>
              </w:rPr>
              <w:t>/okruh</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51347769"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SR 2015</w:t>
            </w:r>
          </w:p>
        </w:tc>
        <w:tc>
          <w:tcPr>
            <w:tcW w:w="1559" w:type="dxa"/>
            <w:tcBorders>
              <w:top w:val="single" w:sz="12" w:space="0" w:color="auto"/>
              <w:left w:val="nil"/>
              <w:bottom w:val="single" w:sz="12" w:space="0" w:color="auto"/>
              <w:right w:val="single" w:sz="8" w:space="0" w:color="auto"/>
            </w:tcBorders>
            <w:shd w:val="clear" w:color="auto" w:fill="auto"/>
            <w:vAlign w:val="center"/>
            <w:hideMark/>
          </w:tcPr>
          <w:p w14:paraId="5134776A"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2016</w:t>
            </w:r>
          </w:p>
        </w:tc>
        <w:tc>
          <w:tcPr>
            <w:tcW w:w="1418" w:type="dxa"/>
            <w:tcBorders>
              <w:top w:val="single" w:sz="12" w:space="0" w:color="auto"/>
              <w:left w:val="nil"/>
              <w:bottom w:val="single" w:sz="12" w:space="0" w:color="auto"/>
              <w:right w:val="single" w:sz="12" w:space="0" w:color="auto"/>
            </w:tcBorders>
            <w:shd w:val="clear" w:color="auto" w:fill="auto"/>
            <w:vAlign w:val="center"/>
            <w:hideMark/>
          </w:tcPr>
          <w:p w14:paraId="5134776B"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 xml:space="preserve"> Rozdíl</w:t>
            </w:r>
          </w:p>
          <w:p w14:paraId="5134776C"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16 -SR 15</w:t>
            </w:r>
          </w:p>
        </w:tc>
      </w:tr>
      <w:tr w:rsidR="00FA387B" w:rsidRPr="009B5908" w14:paraId="51347772" w14:textId="77777777" w:rsidTr="00FA387B">
        <w:trPr>
          <w:trHeight w:val="564"/>
        </w:trPr>
        <w:tc>
          <w:tcPr>
            <w:tcW w:w="4268" w:type="dxa"/>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5134776E" w14:textId="77777777" w:rsidR="009274EE" w:rsidRPr="009B5908" w:rsidRDefault="009274EE" w:rsidP="00D470CF">
            <w:pPr>
              <w:spacing w:line="240" w:lineRule="auto"/>
              <w:jc w:val="left"/>
              <w:rPr>
                <w:rFonts w:ascii="Calibri" w:hAnsi="Calibri"/>
                <w:sz w:val="22"/>
                <w:szCs w:val="22"/>
              </w:rPr>
            </w:pPr>
            <w:r w:rsidRPr="009B5908">
              <w:rPr>
                <w:rFonts w:ascii="Calibri" w:hAnsi="Calibri"/>
                <w:sz w:val="22"/>
                <w:szCs w:val="22"/>
              </w:rPr>
              <w:t>Výdaje dle zákona o majetkovém vyrovnání s církvemi a náboženskými společnostmi</w:t>
            </w:r>
          </w:p>
        </w:tc>
        <w:tc>
          <w:tcPr>
            <w:tcW w:w="1701" w:type="dxa"/>
            <w:tcBorders>
              <w:top w:val="nil"/>
              <w:left w:val="nil"/>
              <w:bottom w:val="single" w:sz="8" w:space="0" w:color="auto"/>
              <w:right w:val="single" w:sz="8" w:space="0" w:color="auto"/>
            </w:tcBorders>
            <w:shd w:val="clear" w:color="auto" w:fill="auto"/>
            <w:vAlign w:val="center"/>
            <w:hideMark/>
          </w:tcPr>
          <w:p w14:paraId="5134776F" w14:textId="77777777" w:rsidR="009274EE" w:rsidRPr="009B5908" w:rsidRDefault="009274EE" w:rsidP="009274EE">
            <w:pPr>
              <w:spacing w:line="240" w:lineRule="auto"/>
              <w:jc w:val="right"/>
              <w:rPr>
                <w:rFonts w:ascii="Calibri" w:hAnsi="Calibri"/>
                <w:sz w:val="22"/>
                <w:szCs w:val="22"/>
              </w:rPr>
            </w:pPr>
            <w:r w:rsidRPr="009B5908">
              <w:rPr>
                <w:rFonts w:ascii="Calibri" w:hAnsi="Calibri"/>
                <w:sz w:val="22"/>
                <w:szCs w:val="22"/>
              </w:rPr>
              <w:t>3 496 805 705</w:t>
            </w:r>
          </w:p>
        </w:tc>
        <w:tc>
          <w:tcPr>
            <w:tcW w:w="1559" w:type="dxa"/>
            <w:tcBorders>
              <w:top w:val="nil"/>
              <w:left w:val="nil"/>
              <w:bottom w:val="single" w:sz="8" w:space="0" w:color="auto"/>
              <w:right w:val="single" w:sz="8" w:space="0" w:color="auto"/>
            </w:tcBorders>
            <w:shd w:val="clear" w:color="auto" w:fill="auto"/>
            <w:vAlign w:val="center"/>
            <w:hideMark/>
          </w:tcPr>
          <w:p w14:paraId="51347770" w14:textId="77777777" w:rsidR="009274EE" w:rsidRPr="009B5908" w:rsidRDefault="009274EE" w:rsidP="009274EE">
            <w:pPr>
              <w:spacing w:line="240" w:lineRule="auto"/>
              <w:jc w:val="right"/>
              <w:rPr>
                <w:rFonts w:ascii="Calibri" w:hAnsi="Calibri"/>
                <w:sz w:val="22"/>
                <w:szCs w:val="22"/>
              </w:rPr>
            </w:pPr>
            <w:r w:rsidRPr="009B5908">
              <w:rPr>
                <w:rFonts w:ascii="Calibri" w:hAnsi="Calibri"/>
                <w:sz w:val="22"/>
                <w:szCs w:val="22"/>
              </w:rPr>
              <w:t>3 432 776 266</w:t>
            </w:r>
          </w:p>
        </w:tc>
        <w:tc>
          <w:tcPr>
            <w:tcW w:w="1418" w:type="dxa"/>
            <w:tcBorders>
              <w:top w:val="nil"/>
              <w:left w:val="nil"/>
              <w:bottom w:val="single" w:sz="8" w:space="0" w:color="auto"/>
              <w:right w:val="single" w:sz="12" w:space="0" w:color="auto"/>
            </w:tcBorders>
            <w:shd w:val="clear" w:color="auto" w:fill="auto"/>
            <w:vAlign w:val="center"/>
            <w:hideMark/>
          </w:tcPr>
          <w:p w14:paraId="51347771" w14:textId="77777777" w:rsidR="009274EE" w:rsidRPr="009B5908" w:rsidRDefault="009274EE" w:rsidP="009274EE">
            <w:pPr>
              <w:spacing w:line="240" w:lineRule="auto"/>
              <w:jc w:val="right"/>
              <w:rPr>
                <w:rFonts w:ascii="Calibri" w:hAnsi="Calibri"/>
                <w:sz w:val="22"/>
                <w:szCs w:val="22"/>
              </w:rPr>
            </w:pPr>
            <w:r w:rsidRPr="009B5908">
              <w:rPr>
                <w:rFonts w:ascii="Calibri" w:hAnsi="Calibri"/>
                <w:sz w:val="22"/>
                <w:szCs w:val="22"/>
              </w:rPr>
              <w:t>-64 029 439</w:t>
            </w:r>
          </w:p>
        </w:tc>
      </w:tr>
      <w:tr w:rsidR="00FA387B" w:rsidRPr="009B5908" w14:paraId="51347778" w14:textId="77777777" w:rsidTr="00FA387B">
        <w:trPr>
          <w:trHeight w:val="300"/>
        </w:trPr>
        <w:tc>
          <w:tcPr>
            <w:tcW w:w="380" w:type="dxa"/>
            <w:tcBorders>
              <w:top w:val="nil"/>
              <w:left w:val="single" w:sz="12" w:space="0" w:color="auto"/>
              <w:bottom w:val="single" w:sz="8" w:space="0" w:color="auto"/>
              <w:right w:val="single" w:sz="8" w:space="0" w:color="auto"/>
            </w:tcBorders>
            <w:shd w:val="clear" w:color="auto" w:fill="auto"/>
            <w:vAlign w:val="center"/>
            <w:hideMark/>
          </w:tcPr>
          <w:p w14:paraId="51347773" w14:textId="77777777" w:rsidR="009274EE" w:rsidRPr="009B5908" w:rsidRDefault="009274EE" w:rsidP="009274EE">
            <w:pPr>
              <w:spacing w:line="240" w:lineRule="auto"/>
              <w:jc w:val="left"/>
              <w:rPr>
                <w:rFonts w:ascii="Calibri" w:hAnsi="Calibri"/>
                <w:sz w:val="22"/>
                <w:szCs w:val="22"/>
              </w:rPr>
            </w:pPr>
            <w:r w:rsidRPr="009B5908">
              <w:rPr>
                <w:rFonts w:ascii="Calibri" w:hAnsi="Calibri"/>
                <w:sz w:val="22"/>
                <w:szCs w:val="22"/>
              </w:rPr>
              <w:t>a)</w:t>
            </w:r>
          </w:p>
        </w:tc>
        <w:tc>
          <w:tcPr>
            <w:tcW w:w="3888" w:type="dxa"/>
            <w:tcBorders>
              <w:top w:val="nil"/>
              <w:left w:val="nil"/>
              <w:bottom w:val="single" w:sz="8" w:space="0" w:color="auto"/>
              <w:right w:val="single" w:sz="8" w:space="0" w:color="auto"/>
            </w:tcBorders>
            <w:shd w:val="clear" w:color="auto" w:fill="auto"/>
            <w:vAlign w:val="center"/>
            <w:hideMark/>
          </w:tcPr>
          <w:p w14:paraId="51347774" w14:textId="77777777" w:rsidR="009274EE" w:rsidRPr="009B5908" w:rsidRDefault="009274EE" w:rsidP="009274EE">
            <w:pPr>
              <w:spacing w:line="240" w:lineRule="auto"/>
              <w:jc w:val="left"/>
              <w:rPr>
                <w:rFonts w:ascii="Calibri" w:hAnsi="Calibri"/>
                <w:sz w:val="22"/>
                <w:szCs w:val="22"/>
              </w:rPr>
            </w:pPr>
            <w:r w:rsidRPr="009B5908">
              <w:rPr>
                <w:rFonts w:ascii="Calibri" w:hAnsi="Calibri"/>
                <w:sz w:val="22"/>
                <w:szCs w:val="22"/>
              </w:rPr>
              <w:t>Finanční náhrada</w:t>
            </w:r>
          </w:p>
        </w:tc>
        <w:tc>
          <w:tcPr>
            <w:tcW w:w="1701" w:type="dxa"/>
            <w:tcBorders>
              <w:top w:val="nil"/>
              <w:left w:val="nil"/>
              <w:bottom w:val="single" w:sz="8" w:space="0" w:color="auto"/>
              <w:right w:val="single" w:sz="8" w:space="0" w:color="auto"/>
            </w:tcBorders>
            <w:shd w:val="clear" w:color="auto" w:fill="auto"/>
            <w:vAlign w:val="center"/>
            <w:hideMark/>
          </w:tcPr>
          <w:p w14:paraId="51347775" w14:textId="77777777" w:rsidR="009274EE" w:rsidRPr="009B5908" w:rsidRDefault="009274EE" w:rsidP="009274EE">
            <w:pPr>
              <w:spacing w:line="240" w:lineRule="auto"/>
              <w:jc w:val="right"/>
              <w:rPr>
                <w:rFonts w:ascii="Calibri" w:hAnsi="Calibri"/>
                <w:sz w:val="22"/>
                <w:szCs w:val="22"/>
              </w:rPr>
            </w:pPr>
            <w:r w:rsidRPr="009B5908">
              <w:rPr>
                <w:rFonts w:ascii="Calibri" w:hAnsi="Calibri"/>
                <w:sz w:val="22"/>
                <w:szCs w:val="22"/>
              </w:rPr>
              <w:t>2 052 052 705</w:t>
            </w:r>
          </w:p>
        </w:tc>
        <w:tc>
          <w:tcPr>
            <w:tcW w:w="1559" w:type="dxa"/>
            <w:tcBorders>
              <w:top w:val="nil"/>
              <w:left w:val="nil"/>
              <w:bottom w:val="single" w:sz="8" w:space="0" w:color="auto"/>
              <w:right w:val="single" w:sz="8" w:space="0" w:color="auto"/>
            </w:tcBorders>
            <w:shd w:val="clear" w:color="auto" w:fill="auto"/>
            <w:vAlign w:val="center"/>
            <w:hideMark/>
          </w:tcPr>
          <w:p w14:paraId="51347776" w14:textId="77777777" w:rsidR="009274EE" w:rsidRPr="009B5908" w:rsidRDefault="009274EE" w:rsidP="009274EE">
            <w:pPr>
              <w:spacing w:line="240" w:lineRule="auto"/>
              <w:jc w:val="right"/>
              <w:rPr>
                <w:rFonts w:ascii="Calibri" w:hAnsi="Calibri"/>
                <w:sz w:val="22"/>
                <w:szCs w:val="22"/>
              </w:rPr>
            </w:pPr>
            <w:r w:rsidRPr="009B5908">
              <w:rPr>
                <w:rFonts w:ascii="Calibri" w:hAnsi="Calibri"/>
                <w:sz w:val="22"/>
                <w:szCs w:val="22"/>
              </w:rPr>
              <w:t>2 060 260 916</w:t>
            </w:r>
          </w:p>
        </w:tc>
        <w:tc>
          <w:tcPr>
            <w:tcW w:w="1418" w:type="dxa"/>
            <w:tcBorders>
              <w:top w:val="nil"/>
              <w:left w:val="nil"/>
              <w:bottom w:val="single" w:sz="8" w:space="0" w:color="auto"/>
              <w:right w:val="single" w:sz="12" w:space="0" w:color="auto"/>
            </w:tcBorders>
            <w:shd w:val="clear" w:color="auto" w:fill="auto"/>
            <w:vAlign w:val="center"/>
            <w:hideMark/>
          </w:tcPr>
          <w:p w14:paraId="51347777" w14:textId="77777777" w:rsidR="009274EE" w:rsidRPr="009B5908" w:rsidRDefault="009274EE" w:rsidP="009274EE">
            <w:pPr>
              <w:spacing w:line="240" w:lineRule="auto"/>
              <w:jc w:val="right"/>
              <w:rPr>
                <w:rFonts w:ascii="Calibri" w:hAnsi="Calibri"/>
                <w:sz w:val="22"/>
                <w:szCs w:val="22"/>
              </w:rPr>
            </w:pPr>
            <w:r w:rsidRPr="009B5908">
              <w:rPr>
                <w:rFonts w:ascii="Calibri" w:hAnsi="Calibri"/>
                <w:sz w:val="22"/>
                <w:szCs w:val="22"/>
              </w:rPr>
              <w:t>8 208 211</w:t>
            </w:r>
          </w:p>
        </w:tc>
      </w:tr>
      <w:tr w:rsidR="00FA387B" w:rsidRPr="009B5908" w14:paraId="5134777E" w14:textId="77777777" w:rsidTr="00FA387B">
        <w:trPr>
          <w:trHeight w:val="588"/>
        </w:trPr>
        <w:tc>
          <w:tcPr>
            <w:tcW w:w="380" w:type="dxa"/>
            <w:tcBorders>
              <w:top w:val="nil"/>
              <w:left w:val="single" w:sz="12" w:space="0" w:color="auto"/>
              <w:bottom w:val="single" w:sz="12" w:space="0" w:color="auto"/>
              <w:right w:val="single" w:sz="8" w:space="0" w:color="auto"/>
            </w:tcBorders>
            <w:shd w:val="clear" w:color="auto" w:fill="auto"/>
            <w:vAlign w:val="center"/>
            <w:hideMark/>
          </w:tcPr>
          <w:p w14:paraId="51347779" w14:textId="77777777" w:rsidR="009274EE" w:rsidRPr="009B5908" w:rsidRDefault="009274EE" w:rsidP="009274EE">
            <w:pPr>
              <w:spacing w:line="240" w:lineRule="auto"/>
              <w:jc w:val="left"/>
              <w:rPr>
                <w:rFonts w:ascii="Calibri" w:hAnsi="Calibri"/>
                <w:sz w:val="22"/>
                <w:szCs w:val="22"/>
              </w:rPr>
            </w:pPr>
            <w:r w:rsidRPr="009B5908">
              <w:rPr>
                <w:rFonts w:ascii="Calibri" w:hAnsi="Calibri"/>
                <w:sz w:val="22"/>
                <w:szCs w:val="22"/>
              </w:rPr>
              <w:t>b)</w:t>
            </w:r>
          </w:p>
        </w:tc>
        <w:tc>
          <w:tcPr>
            <w:tcW w:w="3888" w:type="dxa"/>
            <w:tcBorders>
              <w:top w:val="nil"/>
              <w:left w:val="nil"/>
              <w:bottom w:val="single" w:sz="12" w:space="0" w:color="auto"/>
              <w:right w:val="single" w:sz="8" w:space="0" w:color="auto"/>
            </w:tcBorders>
            <w:shd w:val="clear" w:color="auto" w:fill="auto"/>
            <w:vAlign w:val="center"/>
            <w:hideMark/>
          </w:tcPr>
          <w:p w14:paraId="5134777A" w14:textId="77777777" w:rsidR="009274EE" w:rsidRPr="009B5908" w:rsidRDefault="009274EE" w:rsidP="009274EE">
            <w:pPr>
              <w:spacing w:line="240" w:lineRule="auto"/>
              <w:jc w:val="left"/>
              <w:rPr>
                <w:rFonts w:ascii="Calibri" w:hAnsi="Calibri"/>
                <w:sz w:val="22"/>
                <w:szCs w:val="22"/>
              </w:rPr>
            </w:pPr>
            <w:r w:rsidRPr="009B5908">
              <w:rPr>
                <w:rFonts w:ascii="Calibri" w:hAnsi="Calibri"/>
                <w:sz w:val="22"/>
                <w:szCs w:val="22"/>
              </w:rPr>
              <w:t xml:space="preserve">Příspěvek na podporu činnosti dotčených církví a náboženských společností </w:t>
            </w:r>
          </w:p>
        </w:tc>
        <w:tc>
          <w:tcPr>
            <w:tcW w:w="1701" w:type="dxa"/>
            <w:tcBorders>
              <w:top w:val="nil"/>
              <w:left w:val="nil"/>
              <w:bottom w:val="single" w:sz="12" w:space="0" w:color="auto"/>
              <w:right w:val="single" w:sz="8" w:space="0" w:color="auto"/>
            </w:tcBorders>
            <w:shd w:val="clear" w:color="auto" w:fill="auto"/>
            <w:vAlign w:val="center"/>
            <w:hideMark/>
          </w:tcPr>
          <w:p w14:paraId="5134777B" w14:textId="77777777" w:rsidR="009274EE" w:rsidRPr="009B5908" w:rsidRDefault="009274EE" w:rsidP="009274EE">
            <w:pPr>
              <w:spacing w:line="240" w:lineRule="auto"/>
              <w:jc w:val="right"/>
              <w:rPr>
                <w:rFonts w:ascii="Calibri" w:hAnsi="Calibri"/>
                <w:sz w:val="22"/>
                <w:szCs w:val="22"/>
              </w:rPr>
            </w:pPr>
            <w:r w:rsidRPr="009B5908">
              <w:rPr>
                <w:rFonts w:ascii="Calibri" w:hAnsi="Calibri"/>
                <w:sz w:val="22"/>
                <w:szCs w:val="22"/>
              </w:rPr>
              <w:t>1 444 753 000</w:t>
            </w:r>
          </w:p>
        </w:tc>
        <w:tc>
          <w:tcPr>
            <w:tcW w:w="1559" w:type="dxa"/>
            <w:tcBorders>
              <w:top w:val="nil"/>
              <w:left w:val="nil"/>
              <w:bottom w:val="single" w:sz="12" w:space="0" w:color="auto"/>
              <w:right w:val="single" w:sz="8" w:space="0" w:color="auto"/>
            </w:tcBorders>
            <w:shd w:val="clear" w:color="auto" w:fill="auto"/>
            <w:vAlign w:val="center"/>
            <w:hideMark/>
          </w:tcPr>
          <w:p w14:paraId="5134777C" w14:textId="77777777" w:rsidR="009274EE" w:rsidRPr="009B5908" w:rsidRDefault="009274EE" w:rsidP="009274EE">
            <w:pPr>
              <w:spacing w:line="240" w:lineRule="auto"/>
              <w:jc w:val="right"/>
              <w:rPr>
                <w:rFonts w:ascii="Calibri" w:hAnsi="Calibri"/>
                <w:sz w:val="22"/>
                <w:szCs w:val="22"/>
              </w:rPr>
            </w:pPr>
            <w:r w:rsidRPr="009B5908">
              <w:rPr>
                <w:rFonts w:ascii="Calibri" w:hAnsi="Calibri"/>
                <w:sz w:val="22"/>
                <w:szCs w:val="22"/>
              </w:rPr>
              <w:t>1 372 515 350</w:t>
            </w:r>
          </w:p>
        </w:tc>
        <w:tc>
          <w:tcPr>
            <w:tcW w:w="1418" w:type="dxa"/>
            <w:tcBorders>
              <w:top w:val="nil"/>
              <w:left w:val="nil"/>
              <w:bottom w:val="single" w:sz="12" w:space="0" w:color="auto"/>
              <w:right w:val="single" w:sz="12" w:space="0" w:color="auto"/>
            </w:tcBorders>
            <w:shd w:val="clear" w:color="auto" w:fill="auto"/>
            <w:vAlign w:val="center"/>
            <w:hideMark/>
          </w:tcPr>
          <w:p w14:paraId="5134777D" w14:textId="77777777" w:rsidR="009274EE" w:rsidRPr="009B5908" w:rsidRDefault="009274EE" w:rsidP="009274EE">
            <w:pPr>
              <w:spacing w:line="240" w:lineRule="auto"/>
              <w:jc w:val="right"/>
              <w:rPr>
                <w:rFonts w:ascii="Calibri" w:hAnsi="Calibri"/>
                <w:sz w:val="22"/>
                <w:szCs w:val="22"/>
              </w:rPr>
            </w:pPr>
            <w:r w:rsidRPr="009B5908">
              <w:rPr>
                <w:rFonts w:ascii="Calibri" w:hAnsi="Calibri"/>
                <w:sz w:val="22"/>
                <w:szCs w:val="22"/>
              </w:rPr>
              <w:t>-72 237 650</w:t>
            </w:r>
          </w:p>
        </w:tc>
      </w:tr>
    </w:tbl>
    <w:p w14:paraId="5134777F" w14:textId="77777777" w:rsidR="00516417" w:rsidRPr="009B5908" w:rsidRDefault="001B0D66" w:rsidP="00F86015">
      <w:pPr>
        <w:spacing w:before="120" w:line="240" w:lineRule="auto"/>
        <w:rPr>
          <w:rFonts w:ascii="Times New Roman" w:hAnsi="Times New Roman"/>
        </w:rPr>
      </w:pPr>
      <w:r w:rsidRPr="009B5908">
        <w:rPr>
          <w:rFonts w:ascii="Times New Roman" w:hAnsi="Times New Roman"/>
        </w:rPr>
        <w:t xml:space="preserve">Na základě zákona č. 428/2012 Sb., </w:t>
      </w:r>
      <w:r w:rsidRPr="009B5908">
        <w:rPr>
          <w:rFonts w:ascii="Times New Roman" w:hAnsi="Times New Roman"/>
          <w:spacing w:val="5"/>
        </w:rPr>
        <w:t xml:space="preserve">o majetkovém vyrovnání s církvemi a náboženskými společnostmi a o změně některých zákonů (dále jen zákon), který nabyl </w:t>
      </w:r>
      <w:r w:rsidRPr="009B5908">
        <w:rPr>
          <w:rFonts w:ascii="Times New Roman" w:hAnsi="Times New Roman"/>
        </w:rPr>
        <w:t>účinnosti 1. ledna 2013, došlo ke změně struktury a obsahu specifických ukazatelů rozpočtu. Zrušeny byly dosavadní tři ukazatele dle zákona č. 218/1949 Sb.</w:t>
      </w:r>
      <w:r w:rsidR="009B5908" w:rsidRPr="009B5908">
        <w:rPr>
          <w:rFonts w:ascii="Times New Roman" w:hAnsi="Times New Roman"/>
        </w:rPr>
        <w:t>, o hospodářském zabezpečení církví</w:t>
      </w:r>
      <w:r w:rsidRPr="009B5908">
        <w:rPr>
          <w:rFonts w:ascii="Times New Roman" w:hAnsi="Times New Roman"/>
        </w:rPr>
        <w:t xml:space="preserve"> </w:t>
      </w:r>
      <w:r w:rsidR="00060EF8" w:rsidRPr="009B5908">
        <w:rPr>
          <w:rFonts w:ascii="Times New Roman" w:hAnsi="Times New Roman"/>
        </w:rPr>
        <w:br/>
      </w:r>
      <w:r w:rsidRPr="009B5908">
        <w:rPr>
          <w:rFonts w:ascii="Times New Roman" w:hAnsi="Times New Roman"/>
        </w:rPr>
        <w:t xml:space="preserve">a </w:t>
      </w:r>
      <w:r w:rsidR="009B5908" w:rsidRPr="009B5908">
        <w:rPr>
          <w:rFonts w:ascii="Times New Roman" w:hAnsi="Times New Roman"/>
        </w:rPr>
        <w:t>náboženských společností státem</w:t>
      </w:r>
      <w:r w:rsidR="009B5908">
        <w:rPr>
          <w:rFonts w:ascii="Times New Roman" w:hAnsi="Times New Roman"/>
        </w:rPr>
        <w:t>. N</w:t>
      </w:r>
      <w:r w:rsidRPr="009B5908">
        <w:rPr>
          <w:rFonts w:ascii="Times New Roman" w:hAnsi="Times New Roman"/>
        </w:rPr>
        <w:t xml:space="preserve">ově byly vytvořeny dva ukazatele: „Příspěvek na podporu činnosti dotčených církví a náboženských společností“ a „Finanční náhrada“. </w:t>
      </w:r>
      <w:r w:rsidRPr="009B5908">
        <w:rPr>
          <w:rFonts w:ascii="Times New Roman" w:hAnsi="Times New Roman"/>
        </w:rPr>
        <w:lastRenderedPageBreak/>
        <w:t>Příspěvek na</w:t>
      </w:r>
      <w:r w:rsidR="009B5908">
        <w:rPr>
          <w:rFonts w:ascii="Times New Roman" w:hAnsi="Times New Roman"/>
        </w:rPr>
        <w:t> </w:t>
      </w:r>
      <w:r w:rsidRPr="009B5908">
        <w:rPr>
          <w:rFonts w:ascii="Times New Roman" w:hAnsi="Times New Roman"/>
        </w:rPr>
        <w:t>podporu činnosti dotčených církví a náboženských společností je rozpočtován v souladu s</w:t>
      </w:r>
      <w:r w:rsidR="009B5908">
        <w:rPr>
          <w:rFonts w:ascii="Times New Roman" w:hAnsi="Times New Roman"/>
        </w:rPr>
        <w:t xml:space="preserve"> § 17 </w:t>
      </w:r>
      <w:r w:rsidRPr="009B5908">
        <w:rPr>
          <w:rFonts w:ascii="Times New Roman" w:hAnsi="Times New Roman"/>
        </w:rPr>
        <w:t>zákon</w:t>
      </w:r>
      <w:r w:rsidR="009B5908">
        <w:rPr>
          <w:rFonts w:ascii="Times New Roman" w:hAnsi="Times New Roman"/>
        </w:rPr>
        <w:t>a</w:t>
      </w:r>
      <w:r w:rsidRPr="009B5908">
        <w:rPr>
          <w:rFonts w:ascii="Times New Roman" w:hAnsi="Times New Roman"/>
        </w:rPr>
        <w:t xml:space="preserve"> ve výši 1</w:t>
      </w:r>
      <w:r w:rsidR="00516417" w:rsidRPr="009B5908">
        <w:rPr>
          <w:rFonts w:ascii="Times New Roman" w:hAnsi="Times New Roman"/>
        </w:rPr>
        <w:t> 372 515,35</w:t>
      </w:r>
      <w:r w:rsidRPr="009B5908">
        <w:rPr>
          <w:rFonts w:ascii="Times New Roman" w:hAnsi="Times New Roman"/>
        </w:rPr>
        <w:t xml:space="preserve"> tis. Kč. </w:t>
      </w:r>
    </w:p>
    <w:p w14:paraId="51347780" w14:textId="77777777" w:rsidR="001B0D66" w:rsidRPr="009B5908" w:rsidRDefault="001B0D66" w:rsidP="003C3B5B">
      <w:pPr>
        <w:spacing w:before="120" w:line="240" w:lineRule="auto"/>
        <w:rPr>
          <w:rFonts w:ascii="Times New Roman" w:hAnsi="Times New Roman"/>
        </w:rPr>
      </w:pPr>
      <w:r w:rsidRPr="009B5908">
        <w:rPr>
          <w:rFonts w:ascii="Times New Roman" w:hAnsi="Times New Roman"/>
        </w:rPr>
        <w:t xml:space="preserve">Finanční náhrada </w:t>
      </w:r>
      <w:r w:rsidR="009B5908" w:rsidRPr="009B5908">
        <w:rPr>
          <w:rFonts w:ascii="Times New Roman" w:hAnsi="Times New Roman"/>
        </w:rPr>
        <w:t xml:space="preserve">pro jednotlivé roky </w:t>
      </w:r>
      <w:r w:rsidRPr="009B5908">
        <w:rPr>
          <w:rFonts w:ascii="Times New Roman" w:hAnsi="Times New Roman"/>
        </w:rPr>
        <w:t xml:space="preserve">je </w:t>
      </w:r>
      <w:r w:rsidR="009B5908">
        <w:rPr>
          <w:rFonts w:ascii="Times New Roman" w:hAnsi="Times New Roman"/>
        </w:rPr>
        <w:t xml:space="preserve">dle § 15 zákona </w:t>
      </w:r>
      <w:r w:rsidRPr="009B5908">
        <w:rPr>
          <w:rFonts w:ascii="Times New Roman" w:hAnsi="Times New Roman"/>
        </w:rPr>
        <w:t>vypočítána jako podíl nesplacené částky finanční náhrady a počtu dosud neuhrazených ročních splátek. Celková výše finanční náhrady je zákonem stanovena na 59 mld. Kč.</w:t>
      </w:r>
      <w:r w:rsidR="00516417" w:rsidRPr="009B5908">
        <w:rPr>
          <w:rFonts w:ascii="Times New Roman" w:hAnsi="Times New Roman"/>
        </w:rPr>
        <w:t xml:space="preserve"> </w:t>
      </w:r>
      <w:r w:rsidRPr="009B5908">
        <w:rPr>
          <w:rFonts w:ascii="Times New Roman" w:hAnsi="Times New Roman"/>
        </w:rPr>
        <w:t>Po vyplacení roční splátky finanční náhrady se výše nesplacené částky každoročně zvyšuje o roční míru inflace zveřejněnou ČSÚ pro rok</w:t>
      </w:r>
      <w:r w:rsidR="009B5908">
        <w:rPr>
          <w:rFonts w:ascii="Times New Roman" w:hAnsi="Times New Roman"/>
        </w:rPr>
        <w:t xml:space="preserve">, který </w:t>
      </w:r>
      <w:r w:rsidRPr="009B5908">
        <w:rPr>
          <w:rFonts w:ascii="Times New Roman" w:hAnsi="Times New Roman"/>
        </w:rPr>
        <w:t xml:space="preserve">o dva roky předchází roku výplaty konkrétní splátky. </w:t>
      </w:r>
      <w:r w:rsidR="00AC4CAF" w:rsidRPr="009B5908">
        <w:rPr>
          <w:rFonts w:ascii="Times New Roman" w:hAnsi="Times New Roman"/>
        </w:rPr>
        <w:t xml:space="preserve">Ve splátkách finanční náhrady nejsou zahrnuty prostředky pro Bratrskou jednotu baptistů, která se nároku na finanční náhradu vzdala. </w:t>
      </w:r>
      <w:r w:rsidRPr="009B5908">
        <w:rPr>
          <w:rFonts w:ascii="Times New Roman" w:hAnsi="Times New Roman"/>
        </w:rPr>
        <w:t>Finanční náhrada pro rok 2016 po započítání míry inflace</w:t>
      </w:r>
      <w:r w:rsidR="002B624E" w:rsidRPr="009B5908">
        <w:rPr>
          <w:rFonts w:ascii="Times New Roman" w:hAnsi="Times New Roman"/>
        </w:rPr>
        <w:t xml:space="preserve"> ve výši 0,4 %</w:t>
      </w:r>
      <w:r w:rsidRPr="009B5908">
        <w:rPr>
          <w:rFonts w:ascii="Times New Roman" w:hAnsi="Times New Roman"/>
        </w:rPr>
        <w:t xml:space="preserve"> </w:t>
      </w:r>
      <w:r w:rsidR="00CD044B" w:rsidRPr="009B5908">
        <w:rPr>
          <w:rFonts w:ascii="Times New Roman" w:hAnsi="Times New Roman"/>
        </w:rPr>
        <w:t xml:space="preserve">činí </w:t>
      </w:r>
      <w:r w:rsidR="00AC4CAF" w:rsidRPr="009B5908">
        <w:rPr>
          <w:rFonts w:ascii="Times New Roman" w:hAnsi="Times New Roman"/>
        </w:rPr>
        <w:t>2 060 260,92 tis. Kč.</w:t>
      </w:r>
      <w:r w:rsidR="00F86015">
        <w:rPr>
          <w:rFonts w:ascii="Times New Roman" w:hAnsi="Times New Roman"/>
        </w:rPr>
        <w:t xml:space="preserve"> </w:t>
      </w:r>
      <w:r w:rsidR="002B624E" w:rsidRPr="009B5908">
        <w:rPr>
          <w:rFonts w:ascii="Times New Roman" w:hAnsi="Times New Roman"/>
        </w:rPr>
        <w:t xml:space="preserve">Pro roky 2017 a 2018 byla na základě doporučení Ministerstva financí pro </w:t>
      </w:r>
      <w:r w:rsidR="009B5908">
        <w:rPr>
          <w:rFonts w:ascii="Times New Roman" w:hAnsi="Times New Roman"/>
        </w:rPr>
        <w:t xml:space="preserve">rozpočtování </w:t>
      </w:r>
      <w:r w:rsidR="002B624E" w:rsidRPr="009B5908">
        <w:rPr>
          <w:rFonts w:ascii="Times New Roman" w:hAnsi="Times New Roman"/>
        </w:rPr>
        <w:t>částek finanční náhrady použita míra inflace ve výši 2%.</w:t>
      </w:r>
    </w:p>
    <w:p w14:paraId="51347781" w14:textId="77777777" w:rsidR="003150D7" w:rsidRPr="00F86015" w:rsidRDefault="003150D7" w:rsidP="00F86015">
      <w:pPr>
        <w:spacing w:line="240" w:lineRule="auto"/>
        <w:rPr>
          <w:rFonts w:ascii="Times New Roman" w:hAnsi="Times New Roman"/>
        </w:rPr>
      </w:pPr>
    </w:p>
    <w:p w14:paraId="51347782" w14:textId="77777777" w:rsidR="00217597" w:rsidRPr="001D72D6" w:rsidRDefault="00217597" w:rsidP="00F86015">
      <w:pPr>
        <w:pStyle w:val="Nadpis2"/>
        <w:spacing w:before="0"/>
      </w:pPr>
      <w:bookmarkStart w:id="9" w:name="_Toc431911983"/>
      <w:r w:rsidRPr="001D72D6">
        <w:t>B. III. Výdaje na zabezpečení plnění úkolů Ministerstva kultury</w:t>
      </w:r>
      <w:bookmarkEnd w:id="9"/>
    </w:p>
    <w:p w14:paraId="51347783" w14:textId="77777777" w:rsidR="00217597" w:rsidRPr="00F86015" w:rsidRDefault="00D7537F" w:rsidP="00217597">
      <w:pPr>
        <w:rPr>
          <w:rFonts w:ascii="Times New Roman" w:hAnsi="Times New Roman"/>
          <w:sz w:val="20"/>
        </w:rPr>
      </w:pPr>
      <w:r w:rsidRPr="00FA387B">
        <w:rPr>
          <w:rFonts w:ascii="Times New Roman" w:hAnsi="Times New Roman"/>
          <w:b/>
        </w:rPr>
        <w:tab/>
      </w:r>
      <w:r w:rsidRPr="00FA387B">
        <w:rPr>
          <w:rFonts w:ascii="Times New Roman" w:hAnsi="Times New Roman"/>
          <w:b/>
        </w:rPr>
        <w:tab/>
      </w:r>
      <w:r w:rsidRPr="00FA387B">
        <w:rPr>
          <w:rFonts w:ascii="Times New Roman" w:hAnsi="Times New Roman"/>
          <w:b/>
        </w:rPr>
        <w:tab/>
      </w:r>
      <w:r w:rsidRPr="00FA387B">
        <w:rPr>
          <w:rFonts w:ascii="Times New Roman" w:hAnsi="Times New Roman"/>
          <w:b/>
        </w:rPr>
        <w:tab/>
      </w:r>
      <w:r w:rsidRPr="00FA387B">
        <w:rPr>
          <w:rFonts w:ascii="Times New Roman" w:hAnsi="Times New Roman"/>
          <w:b/>
        </w:rPr>
        <w:tab/>
      </w:r>
      <w:r w:rsidRPr="00FA387B">
        <w:rPr>
          <w:rFonts w:ascii="Times New Roman" w:hAnsi="Times New Roman"/>
          <w:b/>
        </w:rPr>
        <w:tab/>
      </w:r>
      <w:r w:rsidRPr="00FA387B">
        <w:rPr>
          <w:rFonts w:ascii="Times New Roman" w:hAnsi="Times New Roman"/>
          <w:b/>
        </w:rPr>
        <w:tab/>
      </w:r>
      <w:r w:rsidRPr="00FA387B">
        <w:rPr>
          <w:rFonts w:ascii="Times New Roman" w:hAnsi="Times New Roman"/>
          <w:b/>
        </w:rPr>
        <w:tab/>
      </w:r>
      <w:r w:rsidRPr="00FA387B">
        <w:rPr>
          <w:rFonts w:ascii="Times New Roman" w:hAnsi="Times New Roman"/>
          <w:b/>
        </w:rPr>
        <w:tab/>
      </w:r>
      <w:r w:rsidRPr="00FA387B">
        <w:rPr>
          <w:rFonts w:ascii="Times New Roman" w:hAnsi="Times New Roman"/>
          <w:b/>
        </w:rPr>
        <w:tab/>
      </w:r>
      <w:r w:rsidRPr="00FA387B">
        <w:rPr>
          <w:rFonts w:ascii="Times New Roman" w:hAnsi="Times New Roman"/>
        </w:rPr>
        <w:tab/>
      </w:r>
      <w:r w:rsidRPr="00FA387B">
        <w:rPr>
          <w:rFonts w:ascii="Times New Roman" w:hAnsi="Times New Roman"/>
        </w:rPr>
        <w:tab/>
      </w:r>
      <w:r w:rsidRPr="00F86015">
        <w:rPr>
          <w:rFonts w:ascii="Times New Roman" w:hAnsi="Times New Roman"/>
          <w:sz w:val="20"/>
        </w:rPr>
        <w:t>v Kč</w:t>
      </w:r>
    </w:p>
    <w:tbl>
      <w:tblPr>
        <w:tblW w:w="8946" w:type="dxa"/>
        <w:tblInd w:w="55" w:type="dxa"/>
        <w:tblCellMar>
          <w:left w:w="70" w:type="dxa"/>
          <w:right w:w="70" w:type="dxa"/>
        </w:tblCellMar>
        <w:tblLook w:val="04A0" w:firstRow="1" w:lastRow="0" w:firstColumn="1" w:lastColumn="0" w:noHBand="0" w:noVBand="1"/>
      </w:tblPr>
      <w:tblGrid>
        <w:gridCol w:w="380"/>
        <w:gridCol w:w="4313"/>
        <w:gridCol w:w="1418"/>
        <w:gridCol w:w="1417"/>
        <w:gridCol w:w="1418"/>
      </w:tblGrid>
      <w:tr w:rsidR="00015522" w:rsidRPr="00FA387B" w14:paraId="51347789" w14:textId="77777777" w:rsidTr="00FA387B">
        <w:trPr>
          <w:trHeight w:val="600"/>
        </w:trPr>
        <w:tc>
          <w:tcPr>
            <w:tcW w:w="4693" w:type="dxa"/>
            <w:gridSpan w:val="2"/>
            <w:tcBorders>
              <w:top w:val="single" w:sz="12" w:space="0" w:color="auto"/>
              <w:left w:val="single" w:sz="12" w:space="0" w:color="auto"/>
              <w:bottom w:val="single" w:sz="12" w:space="0" w:color="auto"/>
              <w:right w:val="single" w:sz="8" w:space="0" w:color="000000"/>
            </w:tcBorders>
            <w:shd w:val="clear" w:color="auto" w:fill="auto"/>
            <w:vAlign w:val="center"/>
            <w:hideMark/>
          </w:tcPr>
          <w:p w14:paraId="51347784" w14:textId="77777777" w:rsidR="00015522" w:rsidRPr="00FA387B" w:rsidRDefault="00015522">
            <w:pPr>
              <w:jc w:val="center"/>
              <w:rPr>
                <w:rFonts w:ascii="Calibri" w:hAnsi="Calibri"/>
                <w:b/>
                <w:bCs/>
                <w:sz w:val="22"/>
                <w:szCs w:val="22"/>
              </w:rPr>
            </w:pPr>
            <w:r w:rsidRPr="00FA387B">
              <w:rPr>
                <w:rFonts w:ascii="Calibri" w:hAnsi="Calibri"/>
                <w:b/>
                <w:bCs/>
                <w:sz w:val="22"/>
                <w:szCs w:val="22"/>
              </w:rPr>
              <w:t>Výdajový blok/okruh</w:t>
            </w:r>
          </w:p>
        </w:tc>
        <w:tc>
          <w:tcPr>
            <w:tcW w:w="1418" w:type="dxa"/>
            <w:tcBorders>
              <w:top w:val="single" w:sz="12" w:space="0" w:color="auto"/>
              <w:left w:val="nil"/>
              <w:bottom w:val="single" w:sz="12" w:space="0" w:color="auto"/>
              <w:right w:val="single" w:sz="8" w:space="0" w:color="auto"/>
            </w:tcBorders>
            <w:shd w:val="clear" w:color="auto" w:fill="auto"/>
            <w:vAlign w:val="center"/>
            <w:hideMark/>
          </w:tcPr>
          <w:p w14:paraId="51347785"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SR 2015</w:t>
            </w:r>
          </w:p>
        </w:tc>
        <w:tc>
          <w:tcPr>
            <w:tcW w:w="1417" w:type="dxa"/>
            <w:tcBorders>
              <w:top w:val="single" w:sz="12" w:space="0" w:color="auto"/>
              <w:left w:val="nil"/>
              <w:bottom w:val="single" w:sz="12" w:space="0" w:color="auto"/>
              <w:right w:val="single" w:sz="8" w:space="0" w:color="auto"/>
            </w:tcBorders>
            <w:shd w:val="clear" w:color="auto" w:fill="auto"/>
            <w:vAlign w:val="center"/>
            <w:hideMark/>
          </w:tcPr>
          <w:p w14:paraId="51347786"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2016</w:t>
            </w:r>
          </w:p>
        </w:tc>
        <w:tc>
          <w:tcPr>
            <w:tcW w:w="1418" w:type="dxa"/>
            <w:tcBorders>
              <w:top w:val="single" w:sz="12" w:space="0" w:color="auto"/>
              <w:left w:val="nil"/>
              <w:bottom w:val="single" w:sz="12" w:space="0" w:color="auto"/>
              <w:right w:val="single" w:sz="12" w:space="0" w:color="auto"/>
            </w:tcBorders>
            <w:shd w:val="clear" w:color="auto" w:fill="auto"/>
            <w:vAlign w:val="center"/>
            <w:hideMark/>
          </w:tcPr>
          <w:p w14:paraId="51347787"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 xml:space="preserve"> Rozdíl</w:t>
            </w:r>
          </w:p>
          <w:p w14:paraId="51347788"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16 -SR 15</w:t>
            </w:r>
          </w:p>
        </w:tc>
      </w:tr>
      <w:tr w:rsidR="00FA387B" w:rsidRPr="00FA387B" w14:paraId="5134778E" w14:textId="77777777" w:rsidTr="00FA387B">
        <w:trPr>
          <w:trHeight w:val="564"/>
        </w:trPr>
        <w:tc>
          <w:tcPr>
            <w:tcW w:w="4693" w:type="dxa"/>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5134778A" w14:textId="77777777" w:rsidR="003358AF" w:rsidRPr="00FA387B" w:rsidRDefault="003358AF">
            <w:pPr>
              <w:rPr>
                <w:rFonts w:ascii="Calibri" w:hAnsi="Calibri"/>
                <w:sz w:val="22"/>
                <w:szCs w:val="22"/>
              </w:rPr>
            </w:pPr>
            <w:r w:rsidRPr="00FA387B">
              <w:rPr>
                <w:rFonts w:ascii="Calibri" w:hAnsi="Calibri"/>
                <w:sz w:val="22"/>
                <w:szCs w:val="22"/>
              </w:rPr>
              <w:t>Výdaje na zabezpečení plnění úkolů Ministerstva kultury</w:t>
            </w:r>
          </w:p>
        </w:tc>
        <w:tc>
          <w:tcPr>
            <w:tcW w:w="1418" w:type="dxa"/>
            <w:tcBorders>
              <w:top w:val="nil"/>
              <w:left w:val="nil"/>
              <w:bottom w:val="single" w:sz="8" w:space="0" w:color="auto"/>
              <w:right w:val="single" w:sz="8" w:space="0" w:color="auto"/>
            </w:tcBorders>
            <w:shd w:val="clear" w:color="auto" w:fill="auto"/>
            <w:vAlign w:val="center"/>
            <w:hideMark/>
          </w:tcPr>
          <w:p w14:paraId="5134778B" w14:textId="77777777" w:rsidR="003358AF" w:rsidRPr="00FA387B" w:rsidRDefault="003358AF">
            <w:pPr>
              <w:jc w:val="right"/>
              <w:rPr>
                <w:rFonts w:ascii="Calibri" w:hAnsi="Calibri"/>
                <w:sz w:val="22"/>
                <w:szCs w:val="22"/>
              </w:rPr>
            </w:pPr>
            <w:r w:rsidRPr="00FA387B">
              <w:rPr>
                <w:rFonts w:ascii="Calibri" w:hAnsi="Calibri"/>
                <w:sz w:val="22"/>
                <w:szCs w:val="22"/>
              </w:rPr>
              <w:t>281 034 983</w:t>
            </w:r>
          </w:p>
        </w:tc>
        <w:tc>
          <w:tcPr>
            <w:tcW w:w="1417" w:type="dxa"/>
            <w:tcBorders>
              <w:top w:val="nil"/>
              <w:left w:val="nil"/>
              <w:bottom w:val="single" w:sz="8" w:space="0" w:color="auto"/>
              <w:right w:val="single" w:sz="8" w:space="0" w:color="auto"/>
            </w:tcBorders>
            <w:shd w:val="clear" w:color="auto" w:fill="auto"/>
            <w:vAlign w:val="center"/>
            <w:hideMark/>
          </w:tcPr>
          <w:p w14:paraId="5134778C" w14:textId="77777777" w:rsidR="003358AF" w:rsidRPr="00FA387B" w:rsidRDefault="003358AF">
            <w:pPr>
              <w:jc w:val="right"/>
              <w:rPr>
                <w:rFonts w:ascii="Calibri" w:hAnsi="Calibri"/>
                <w:sz w:val="22"/>
                <w:szCs w:val="22"/>
              </w:rPr>
            </w:pPr>
            <w:r w:rsidRPr="00FA387B">
              <w:rPr>
                <w:rFonts w:ascii="Calibri" w:hAnsi="Calibri"/>
                <w:sz w:val="22"/>
                <w:szCs w:val="22"/>
              </w:rPr>
              <w:t>324 115 864</w:t>
            </w:r>
          </w:p>
        </w:tc>
        <w:tc>
          <w:tcPr>
            <w:tcW w:w="1418" w:type="dxa"/>
            <w:tcBorders>
              <w:top w:val="nil"/>
              <w:left w:val="nil"/>
              <w:bottom w:val="single" w:sz="8" w:space="0" w:color="auto"/>
              <w:right w:val="single" w:sz="12" w:space="0" w:color="auto"/>
            </w:tcBorders>
            <w:shd w:val="clear" w:color="auto" w:fill="auto"/>
            <w:vAlign w:val="center"/>
            <w:hideMark/>
          </w:tcPr>
          <w:p w14:paraId="5134778D" w14:textId="77777777" w:rsidR="003358AF" w:rsidRPr="00FA387B" w:rsidRDefault="003358AF">
            <w:pPr>
              <w:jc w:val="right"/>
              <w:rPr>
                <w:rFonts w:ascii="Calibri" w:hAnsi="Calibri"/>
                <w:sz w:val="22"/>
                <w:szCs w:val="22"/>
              </w:rPr>
            </w:pPr>
            <w:r w:rsidRPr="00FA387B">
              <w:rPr>
                <w:rFonts w:ascii="Calibri" w:hAnsi="Calibri"/>
                <w:sz w:val="22"/>
                <w:szCs w:val="22"/>
              </w:rPr>
              <w:t>43 080 881</w:t>
            </w:r>
          </w:p>
        </w:tc>
      </w:tr>
      <w:tr w:rsidR="00FA387B" w:rsidRPr="00FA387B" w14:paraId="51347794" w14:textId="77777777" w:rsidTr="00FA387B">
        <w:trPr>
          <w:trHeight w:val="300"/>
        </w:trPr>
        <w:tc>
          <w:tcPr>
            <w:tcW w:w="380" w:type="dxa"/>
            <w:tcBorders>
              <w:top w:val="nil"/>
              <w:left w:val="single" w:sz="12" w:space="0" w:color="auto"/>
              <w:bottom w:val="single" w:sz="8" w:space="0" w:color="auto"/>
              <w:right w:val="single" w:sz="8" w:space="0" w:color="auto"/>
            </w:tcBorders>
            <w:shd w:val="clear" w:color="auto" w:fill="auto"/>
            <w:vAlign w:val="center"/>
            <w:hideMark/>
          </w:tcPr>
          <w:p w14:paraId="5134778F" w14:textId="77777777" w:rsidR="003358AF" w:rsidRPr="00FA387B" w:rsidRDefault="003358AF">
            <w:pPr>
              <w:rPr>
                <w:rFonts w:ascii="Calibri" w:hAnsi="Calibri"/>
                <w:sz w:val="22"/>
                <w:szCs w:val="22"/>
              </w:rPr>
            </w:pPr>
            <w:r w:rsidRPr="00FA387B">
              <w:rPr>
                <w:rFonts w:ascii="Calibri" w:hAnsi="Calibri"/>
                <w:sz w:val="22"/>
                <w:szCs w:val="22"/>
              </w:rPr>
              <w:t>a)</w:t>
            </w:r>
          </w:p>
        </w:tc>
        <w:tc>
          <w:tcPr>
            <w:tcW w:w="4313" w:type="dxa"/>
            <w:tcBorders>
              <w:top w:val="nil"/>
              <w:left w:val="nil"/>
              <w:bottom w:val="single" w:sz="8" w:space="0" w:color="auto"/>
              <w:right w:val="single" w:sz="8" w:space="0" w:color="auto"/>
            </w:tcBorders>
            <w:shd w:val="clear" w:color="auto" w:fill="auto"/>
            <w:vAlign w:val="center"/>
            <w:hideMark/>
          </w:tcPr>
          <w:p w14:paraId="51347790" w14:textId="77777777" w:rsidR="003358AF" w:rsidRPr="00FA387B" w:rsidRDefault="003358AF">
            <w:pPr>
              <w:rPr>
                <w:rFonts w:ascii="Calibri" w:hAnsi="Calibri"/>
                <w:sz w:val="22"/>
                <w:szCs w:val="22"/>
              </w:rPr>
            </w:pPr>
            <w:r w:rsidRPr="00FA387B">
              <w:rPr>
                <w:rFonts w:ascii="Calibri" w:hAnsi="Calibri"/>
                <w:sz w:val="22"/>
                <w:szCs w:val="22"/>
              </w:rPr>
              <w:t>Rozvoj a obnova materiálně technické základny</w:t>
            </w:r>
          </w:p>
        </w:tc>
        <w:tc>
          <w:tcPr>
            <w:tcW w:w="1418" w:type="dxa"/>
            <w:tcBorders>
              <w:top w:val="nil"/>
              <w:left w:val="nil"/>
              <w:bottom w:val="single" w:sz="8" w:space="0" w:color="auto"/>
              <w:right w:val="single" w:sz="8" w:space="0" w:color="auto"/>
            </w:tcBorders>
            <w:shd w:val="clear" w:color="auto" w:fill="auto"/>
            <w:vAlign w:val="center"/>
            <w:hideMark/>
          </w:tcPr>
          <w:p w14:paraId="51347791" w14:textId="77777777" w:rsidR="003358AF" w:rsidRPr="00FA387B" w:rsidRDefault="003358AF">
            <w:pPr>
              <w:jc w:val="right"/>
              <w:rPr>
                <w:rFonts w:ascii="Calibri" w:hAnsi="Calibri"/>
                <w:sz w:val="22"/>
                <w:szCs w:val="22"/>
              </w:rPr>
            </w:pPr>
            <w:r w:rsidRPr="00FA387B">
              <w:rPr>
                <w:rFonts w:ascii="Calibri" w:hAnsi="Calibri"/>
                <w:sz w:val="22"/>
                <w:szCs w:val="22"/>
              </w:rPr>
              <w:t>9 383 000</w:t>
            </w:r>
          </w:p>
        </w:tc>
        <w:tc>
          <w:tcPr>
            <w:tcW w:w="1417" w:type="dxa"/>
            <w:tcBorders>
              <w:top w:val="nil"/>
              <w:left w:val="nil"/>
              <w:bottom w:val="single" w:sz="8" w:space="0" w:color="auto"/>
              <w:right w:val="single" w:sz="8" w:space="0" w:color="auto"/>
            </w:tcBorders>
            <w:shd w:val="clear" w:color="auto" w:fill="auto"/>
            <w:vAlign w:val="center"/>
            <w:hideMark/>
          </w:tcPr>
          <w:p w14:paraId="51347792" w14:textId="77777777" w:rsidR="003358AF" w:rsidRPr="00FA387B" w:rsidRDefault="003358AF">
            <w:pPr>
              <w:jc w:val="right"/>
              <w:rPr>
                <w:rFonts w:ascii="Calibri" w:hAnsi="Calibri"/>
                <w:sz w:val="22"/>
                <w:szCs w:val="22"/>
              </w:rPr>
            </w:pPr>
            <w:r w:rsidRPr="00FA387B">
              <w:rPr>
                <w:rFonts w:ascii="Calibri" w:hAnsi="Calibri"/>
                <w:sz w:val="22"/>
                <w:szCs w:val="22"/>
              </w:rPr>
              <w:t>42 880 000</w:t>
            </w:r>
          </w:p>
        </w:tc>
        <w:tc>
          <w:tcPr>
            <w:tcW w:w="1418" w:type="dxa"/>
            <w:tcBorders>
              <w:top w:val="nil"/>
              <w:left w:val="nil"/>
              <w:bottom w:val="single" w:sz="8" w:space="0" w:color="auto"/>
              <w:right w:val="single" w:sz="12" w:space="0" w:color="auto"/>
            </w:tcBorders>
            <w:shd w:val="clear" w:color="auto" w:fill="auto"/>
            <w:vAlign w:val="center"/>
            <w:hideMark/>
          </w:tcPr>
          <w:p w14:paraId="51347793" w14:textId="77777777" w:rsidR="003358AF" w:rsidRPr="00FA387B" w:rsidRDefault="003358AF">
            <w:pPr>
              <w:jc w:val="right"/>
              <w:rPr>
                <w:rFonts w:ascii="Calibri" w:hAnsi="Calibri"/>
                <w:sz w:val="22"/>
                <w:szCs w:val="22"/>
              </w:rPr>
            </w:pPr>
            <w:r w:rsidRPr="00FA387B">
              <w:rPr>
                <w:rFonts w:ascii="Calibri" w:hAnsi="Calibri"/>
                <w:sz w:val="22"/>
                <w:szCs w:val="22"/>
              </w:rPr>
              <w:t>33 497 000</w:t>
            </w:r>
          </w:p>
        </w:tc>
      </w:tr>
      <w:tr w:rsidR="00FA387B" w:rsidRPr="00FA387B" w14:paraId="5134779A" w14:textId="77777777" w:rsidTr="00FA387B">
        <w:trPr>
          <w:trHeight w:val="588"/>
        </w:trPr>
        <w:tc>
          <w:tcPr>
            <w:tcW w:w="380" w:type="dxa"/>
            <w:tcBorders>
              <w:top w:val="nil"/>
              <w:left w:val="single" w:sz="12" w:space="0" w:color="auto"/>
              <w:bottom w:val="single" w:sz="8" w:space="0" w:color="auto"/>
              <w:right w:val="single" w:sz="8" w:space="0" w:color="auto"/>
            </w:tcBorders>
            <w:shd w:val="clear" w:color="auto" w:fill="auto"/>
            <w:vAlign w:val="center"/>
            <w:hideMark/>
          </w:tcPr>
          <w:p w14:paraId="51347795" w14:textId="77777777" w:rsidR="003358AF" w:rsidRPr="00FA387B" w:rsidRDefault="003358AF">
            <w:pPr>
              <w:rPr>
                <w:rFonts w:ascii="Calibri" w:hAnsi="Calibri"/>
                <w:sz w:val="22"/>
                <w:szCs w:val="22"/>
              </w:rPr>
            </w:pPr>
            <w:r w:rsidRPr="00FA387B">
              <w:rPr>
                <w:rFonts w:ascii="Calibri" w:hAnsi="Calibri"/>
                <w:sz w:val="22"/>
                <w:szCs w:val="22"/>
              </w:rPr>
              <w:t>b)</w:t>
            </w:r>
          </w:p>
        </w:tc>
        <w:tc>
          <w:tcPr>
            <w:tcW w:w="4313" w:type="dxa"/>
            <w:tcBorders>
              <w:top w:val="nil"/>
              <w:left w:val="nil"/>
              <w:bottom w:val="single" w:sz="8" w:space="0" w:color="auto"/>
              <w:right w:val="single" w:sz="8" w:space="0" w:color="auto"/>
            </w:tcBorders>
            <w:shd w:val="clear" w:color="auto" w:fill="auto"/>
            <w:vAlign w:val="center"/>
            <w:hideMark/>
          </w:tcPr>
          <w:p w14:paraId="51347796" w14:textId="77777777" w:rsidR="003358AF" w:rsidRPr="00FA387B" w:rsidRDefault="003358AF">
            <w:pPr>
              <w:rPr>
                <w:rFonts w:ascii="Calibri" w:hAnsi="Calibri"/>
                <w:sz w:val="22"/>
                <w:szCs w:val="22"/>
              </w:rPr>
            </w:pPr>
            <w:r w:rsidRPr="00FA387B">
              <w:rPr>
                <w:rFonts w:ascii="Calibri" w:hAnsi="Calibri"/>
                <w:sz w:val="22"/>
                <w:szCs w:val="22"/>
              </w:rPr>
              <w:t>Neinvestiční výdaje na programy spolufinancované z rozpočtu Evropské unie</w:t>
            </w:r>
          </w:p>
        </w:tc>
        <w:tc>
          <w:tcPr>
            <w:tcW w:w="1418" w:type="dxa"/>
            <w:tcBorders>
              <w:top w:val="nil"/>
              <w:left w:val="nil"/>
              <w:bottom w:val="single" w:sz="8" w:space="0" w:color="auto"/>
              <w:right w:val="single" w:sz="8" w:space="0" w:color="auto"/>
            </w:tcBorders>
            <w:shd w:val="clear" w:color="auto" w:fill="auto"/>
            <w:vAlign w:val="center"/>
            <w:hideMark/>
          </w:tcPr>
          <w:p w14:paraId="51347797" w14:textId="77777777" w:rsidR="003358AF" w:rsidRPr="00FA387B" w:rsidRDefault="003358AF">
            <w:pPr>
              <w:jc w:val="right"/>
              <w:rPr>
                <w:rFonts w:ascii="Calibri" w:hAnsi="Calibri"/>
                <w:sz w:val="22"/>
                <w:szCs w:val="22"/>
              </w:rPr>
            </w:pPr>
            <w:r w:rsidRPr="00FA387B">
              <w:rPr>
                <w:rFonts w:ascii="Calibri" w:hAnsi="Calibri"/>
                <w:sz w:val="22"/>
                <w:szCs w:val="22"/>
              </w:rPr>
              <w:t>0</w:t>
            </w:r>
          </w:p>
        </w:tc>
        <w:tc>
          <w:tcPr>
            <w:tcW w:w="1417" w:type="dxa"/>
            <w:tcBorders>
              <w:top w:val="nil"/>
              <w:left w:val="nil"/>
              <w:bottom w:val="single" w:sz="8" w:space="0" w:color="auto"/>
              <w:right w:val="single" w:sz="8" w:space="0" w:color="auto"/>
            </w:tcBorders>
            <w:shd w:val="clear" w:color="auto" w:fill="auto"/>
            <w:vAlign w:val="center"/>
            <w:hideMark/>
          </w:tcPr>
          <w:p w14:paraId="51347798" w14:textId="77777777" w:rsidR="003358AF" w:rsidRPr="00FA387B" w:rsidRDefault="003358AF">
            <w:pPr>
              <w:jc w:val="right"/>
              <w:rPr>
                <w:rFonts w:ascii="Calibri" w:hAnsi="Calibri"/>
                <w:sz w:val="22"/>
                <w:szCs w:val="22"/>
              </w:rPr>
            </w:pPr>
            <w:r w:rsidRPr="00FA387B">
              <w:rPr>
                <w:rFonts w:ascii="Calibri" w:hAnsi="Calibri"/>
                <w:sz w:val="22"/>
                <w:szCs w:val="22"/>
              </w:rPr>
              <w:t>0</w:t>
            </w:r>
          </w:p>
        </w:tc>
        <w:tc>
          <w:tcPr>
            <w:tcW w:w="1418" w:type="dxa"/>
            <w:tcBorders>
              <w:top w:val="nil"/>
              <w:left w:val="nil"/>
              <w:bottom w:val="single" w:sz="8" w:space="0" w:color="auto"/>
              <w:right w:val="single" w:sz="12" w:space="0" w:color="auto"/>
            </w:tcBorders>
            <w:shd w:val="clear" w:color="auto" w:fill="auto"/>
            <w:vAlign w:val="center"/>
            <w:hideMark/>
          </w:tcPr>
          <w:p w14:paraId="51347799" w14:textId="77777777" w:rsidR="003358AF" w:rsidRPr="00FA387B" w:rsidRDefault="003358AF">
            <w:pPr>
              <w:jc w:val="right"/>
              <w:rPr>
                <w:rFonts w:ascii="Calibri" w:hAnsi="Calibri"/>
                <w:sz w:val="22"/>
                <w:szCs w:val="22"/>
              </w:rPr>
            </w:pPr>
            <w:r w:rsidRPr="00FA387B">
              <w:rPr>
                <w:rFonts w:ascii="Calibri" w:hAnsi="Calibri"/>
                <w:sz w:val="22"/>
                <w:szCs w:val="22"/>
              </w:rPr>
              <w:t>0</w:t>
            </w:r>
          </w:p>
        </w:tc>
      </w:tr>
      <w:tr w:rsidR="00FA387B" w:rsidRPr="00FA387B" w14:paraId="513477A0" w14:textId="77777777" w:rsidTr="00FA387B">
        <w:trPr>
          <w:trHeight w:val="300"/>
        </w:trPr>
        <w:tc>
          <w:tcPr>
            <w:tcW w:w="380" w:type="dxa"/>
            <w:tcBorders>
              <w:top w:val="nil"/>
              <w:left w:val="single" w:sz="12" w:space="0" w:color="auto"/>
              <w:bottom w:val="single" w:sz="8" w:space="0" w:color="auto"/>
              <w:right w:val="single" w:sz="8" w:space="0" w:color="auto"/>
            </w:tcBorders>
            <w:shd w:val="clear" w:color="auto" w:fill="auto"/>
            <w:vAlign w:val="center"/>
            <w:hideMark/>
          </w:tcPr>
          <w:p w14:paraId="5134779B" w14:textId="77777777" w:rsidR="003358AF" w:rsidRPr="00FA387B" w:rsidRDefault="003358AF">
            <w:pPr>
              <w:rPr>
                <w:rFonts w:ascii="Calibri" w:hAnsi="Calibri"/>
                <w:sz w:val="22"/>
                <w:szCs w:val="22"/>
              </w:rPr>
            </w:pPr>
            <w:r w:rsidRPr="00FA387B">
              <w:rPr>
                <w:rFonts w:ascii="Calibri" w:hAnsi="Calibri"/>
                <w:sz w:val="22"/>
                <w:szCs w:val="22"/>
              </w:rPr>
              <w:t>c)</w:t>
            </w:r>
          </w:p>
        </w:tc>
        <w:tc>
          <w:tcPr>
            <w:tcW w:w="4313" w:type="dxa"/>
            <w:tcBorders>
              <w:top w:val="nil"/>
              <w:left w:val="nil"/>
              <w:bottom w:val="single" w:sz="8" w:space="0" w:color="auto"/>
              <w:right w:val="single" w:sz="8" w:space="0" w:color="auto"/>
            </w:tcBorders>
            <w:shd w:val="clear" w:color="auto" w:fill="auto"/>
            <w:vAlign w:val="center"/>
            <w:hideMark/>
          </w:tcPr>
          <w:p w14:paraId="5134779C" w14:textId="77777777" w:rsidR="003358AF" w:rsidRPr="00FA387B" w:rsidRDefault="003358AF">
            <w:pPr>
              <w:rPr>
                <w:rFonts w:ascii="Calibri" w:hAnsi="Calibri"/>
                <w:sz w:val="22"/>
                <w:szCs w:val="22"/>
              </w:rPr>
            </w:pPr>
            <w:r w:rsidRPr="00FA387B">
              <w:rPr>
                <w:rFonts w:ascii="Calibri" w:hAnsi="Calibri"/>
                <w:sz w:val="22"/>
                <w:szCs w:val="22"/>
              </w:rPr>
              <w:t>Výdaje na činnost úřadu</w:t>
            </w:r>
          </w:p>
        </w:tc>
        <w:tc>
          <w:tcPr>
            <w:tcW w:w="1418" w:type="dxa"/>
            <w:tcBorders>
              <w:top w:val="nil"/>
              <w:left w:val="nil"/>
              <w:bottom w:val="single" w:sz="8" w:space="0" w:color="auto"/>
              <w:right w:val="single" w:sz="8" w:space="0" w:color="auto"/>
            </w:tcBorders>
            <w:shd w:val="clear" w:color="auto" w:fill="auto"/>
            <w:vAlign w:val="center"/>
            <w:hideMark/>
          </w:tcPr>
          <w:p w14:paraId="5134779D" w14:textId="77777777" w:rsidR="003358AF" w:rsidRPr="00FA387B" w:rsidRDefault="003358AF">
            <w:pPr>
              <w:jc w:val="right"/>
              <w:rPr>
                <w:rFonts w:ascii="Calibri" w:hAnsi="Calibri"/>
                <w:sz w:val="22"/>
                <w:szCs w:val="22"/>
              </w:rPr>
            </w:pPr>
            <w:r w:rsidRPr="00FA387B">
              <w:rPr>
                <w:rFonts w:ascii="Calibri" w:hAnsi="Calibri"/>
                <w:sz w:val="22"/>
                <w:szCs w:val="22"/>
              </w:rPr>
              <w:t>246 669 583</w:t>
            </w:r>
          </w:p>
        </w:tc>
        <w:tc>
          <w:tcPr>
            <w:tcW w:w="1417" w:type="dxa"/>
            <w:tcBorders>
              <w:top w:val="nil"/>
              <w:left w:val="nil"/>
              <w:bottom w:val="single" w:sz="8" w:space="0" w:color="auto"/>
              <w:right w:val="single" w:sz="8" w:space="0" w:color="auto"/>
            </w:tcBorders>
            <w:shd w:val="clear" w:color="auto" w:fill="auto"/>
            <w:vAlign w:val="center"/>
            <w:hideMark/>
          </w:tcPr>
          <w:p w14:paraId="5134779E" w14:textId="77777777" w:rsidR="003358AF" w:rsidRPr="00FA387B" w:rsidRDefault="003358AF">
            <w:pPr>
              <w:jc w:val="right"/>
              <w:rPr>
                <w:rFonts w:ascii="Calibri" w:hAnsi="Calibri"/>
                <w:sz w:val="22"/>
                <w:szCs w:val="22"/>
              </w:rPr>
            </w:pPr>
            <w:r w:rsidRPr="00FA387B">
              <w:rPr>
                <w:rFonts w:ascii="Calibri" w:hAnsi="Calibri"/>
                <w:sz w:val="22"/>
                <w:szCs w:val="22"/>
              </w:rPr>
              <w:t>256 175 364</w:t>
            </w:r>
          </w:p>
        </w:tc>
        <w:tc>
          <w:tcPr>
            <w:tcW w:w="1418" w:type="dxa"/>
            <w:tcBorders>
              <w:top w:val="nil"/>
              <w:left w:val="nil"/>
              <w:bottom w:val="single" w:sz="8" w:space="0" w:color="auto"/>
              <w:right w:val="single" w:sz="12" w:space="0" w:color="auto"/>
            </w:tcBorders>
            <w:shd w:val="clear" w:color="auto" w:fill="auto"/>
            <w:vAlign w:val="center"/>
            <w:hideMark/>
          </w:tcPr>
          <w:p w14:paraId="5134779F" w14:textId="77777777" w:rsidR="003358AF" w:rsidRPr="00FA387B" w:rsidRDefault="003358AF">
            <w:pPr>
              <w:jc w:val="right"/>
              <w:rPr>
                <w:rFonts w:ascii="Calibri" w:hAnsi="Calibri"/>
                <w:sz w:val="22"/>
                <w:szCs w:val="22"/>
              </w:rPr>
            </w:pPr>
            <w:r w:rsidRPr="00FA387B">
              <w:rPr>
                <w:rFonts w:ascii="Calibri" w:hAnsi="Calibri"/>
                <w:sz w:val="22"/>
                <w:szCs w:val="22"/>
              </w:rPr>
              <w:t>9 505 781</w:t>
            </w:r>
          </w:p>
        </w:tc>
      </w:tr>
      <w:tr w:rsidR="00FA387B" w:rsidRPr="00FA387B" w14:paraId="513477A6" w14:textId="77777777" w:rsidTr="00FA387B">
        <w:trPr>
          <w:trHeight w:val="588"/>
        </w:trPr>
        <w:tc>
          <w:tcPr>
            <w:tcW w:w="380" w:type="dxa"/>
            <w:tcBorders>
              <w:top w:val="nil"/>
              <w:left w:val="single" w:sz="12" w:space="0" w:color="auto"/>
              <w:bottom w:val="single" w:sz="12" w:space="0" w:color="auto"/>
              <w:right w:val="single" w:sz="8" w:space="0" w:color="auto"/>
            </w:tcBorders>
            <w:shd w:val="clear" w:color="auto" w:fill="auto"/>
            <w:vAlign w:val="center"/>
            <w:hideMark/>
          </w:tcPr>
          <w:p w14:paraId="513477A1" w14:textId="77777777" w:rsidR="003358AF" w:rsidRPr="00FA387B" w:rsidRDefault="003358AF">
            <w:pPr>
              <w:rPr>
                <w:rFonts w:ascii="Calibri" w:hAnsi="Calibri"/>
                <w:sz w:val="22"/>
                <w:szCs w:val="22"/>
              </w:rPr>
            </w:pPr>
            <w:r w:rsidRPr="00FA387B">
              <w:rPr>
                <w:rFonts w:ascii="Calibri" w:hAnsi="Calibri"/>
                <w:sz w:val="22"/>
                <w:szCs w:val="22"/>
              </w:rPr>
              <w:t>d)</w:t>
            </w:r>
          </w:p>
        </w:tc>
        <w:tc>
          <w:tcPr>
            <w:tcW w:w="4313" w:type="dxa"/>
            <w:tcBorders>
              <w:top w:val="nil"/>
              <w:left w:val="nil"/>
              <w:bottom w:val="single" w:sz="12" w:space="0" w:color="auto"/>
              <w:right w:val="single" w:sz="8" w:space="0" w:color="auto"/>
            </w:tcBorders>
            <w:shd w:val="clear" w:color="auto" w:fill="auto"/>
            <w:vAlign w:val="center"/>
            <w:hideMark/>
          </w:tcPr>
          <w:p w14:paraId="513477A2" w14:textId="77777777" w:rsidR="003358AF" w:rsidRPr="00FA387B" w:rsidRDefault="003358AF">
            <w:pPr>
              <w:rPr>
                <w:rFonts w:ascii="Calibri" w:hAnsi="Calibri"/>
                <w:sz w:val="22"/>
                <w:szCs w:val="22"/>
              </w:rPr>
            </w:pPr>
            <w:r w:rsidRPr="00FA387B">
              <w:rPr>
                <w:rFonts w:ascii="Calibri" w:hAnsi="Calibri"/>
                <w:sz w:val="22"/>
                <w:szCs w:val="22"/>
              </w:rPr>
              <w:t>Platby mezinárodním společnostem a dalším organizacím</w:t>
            </w:r>
          </w:p>
        </w:tc>
        <w:tc>
          <w:tcPr>
            <w:tcW w:w="1418" w:type="dxa"/>
            <w:tcBorders>
              <w:top w:val="nil"/>
              <w:left w:val="nil"/>
              <w:bottom w:val="single" w:sz="12" w:space="0" w:color="auto"/>
              <w:right w:val="single" w:sz="8" w:space="0" w:color="auto"/>
            </w:tcBorders>
            <w:shd w:val="clear" w:color="auto" w:fill="auto"/>
            <w:vAlign w:val="center"/>
            <w:hideMark/>
          </w:tcPr>
          <w:p w14:paraId="513477A3" w14:textId="77777777" w:rsidR="003358AF" w:rsidRPr="00FA387B" w:rsidRDefault="003358AF">
            <w:pPr>
              <w:jc w:val="right"/>
              <w:rPr>
                <w:rFonts w:ascii="Calibri" w:hAnsi="Calibri"/>
                <w:sz w:val="22"/>
                <w:szCs w:val="22"/>
              </w:rPr>
            </w:pPr>
            <w:r w:rsidRPr="00FA387B">
              <w:rPr>
                <w:rFonts w:ascii="Calibri" w:hAnsi="Calibri"/>
                <w:sz w:val="22"/>
                <w:szCs w:val="22"/>
              </w:rPr>
              <w:t>24 982 400</w:t>
            </w:r>
          </w:p>
        </w:tc>
        <w:tc>
          <w:tcPr>
            <w:tcW w:w="1417" w:type="dxa"/>
            <w:tcBorders>
              <w:top w:val="nil"/>
              <w:left w:val="nil"/>
              <w:bottom w:val="single" w:sz="12" w:space="0" w:color="auto"/>
              <w:right w:val="single" w:sz="8" w:space="0" w:color="auto"/>
            </w:tcBorders>
            <w:shd w:val="clear" w:color="auto" w:fill="auto"/>
            <w:vAlign w:val="center"/>
            <w:hideMark/>
          </w:tcPr>
          <w:p w14:paraId="513477A4" w14:textId="77777777" w:rsidR="003358AF" w:rsidRPr="00FA387B" w:rsidRDefault="003358AF">
            <w:pPr>
              <w:jc w:val="right"/>
              <w:rPr>
                <w:rFonts w:ascii="Calibri" w:hAnsi="Calibri"/>
                <w:sz w:val="22"/>
                <w:szCs w:val="22"/>
              </w:rPr>
            </w:pPr>
            <w:r w:rsidRPr="00FA387B">
              <w:rPr>
                <w:rFonts w:ascii="Calibri" w:hAnsi="Calibri"/>
                <w:sz w:val="22"/>
                <w:szCs w:val="22"/>
              </w:rPr>
              <w:t>25 060 500</w:t>
            </w:r>
          </w:p>
        </w:tc>
        <w:tc>
          <w:tcPr>
            <w:tcW w:w="1418" w:type="dxa"/>
            <w:tcBorders>
              <w:top w:val="nil"/>
              <w:left w:val="nil"/>
              <w:bottom w:val="single" w:sz="12" w:space="0" w:color="auto"/>
              <w:right w:val="single" w:sz="12" w:space="0" w:color="auto"/>
            </w:tcBorders>
            <w:shd w:val="clear" w:color="auto" w:fill="auto"/>
            <w:vAlign w:val="center"/>
            <w:hideMark/>
          </w:tcPr>
          <w:p w14:paraId="513477A5" w14:textId="77777777" w:rsidR="003358AF" w:rsidRPr="00FA387B" w:rsidRDefault="003358AF">
            <w:pPr>
              <w:jc w:val="right"/>
              <w:rPr>
                <w:rFonts w:ascii="Calibri" w:hAnsi="Calibri"/>
                <w:sz w:val="22"/>
                <w:szCs w:val="22"/>
              </w:rPr>
            </w:pPr>
            <w:r w:rsidRPr="00FA387B">
              <w:rPr>
                <w:rFonts w:ascii="Calibri" w:hAnsi="Calibri"/>
                <w:sz w:val="22"/>
                <w:szCs w:val="22"/>
              </w:rPr>
              <w:t>78 100</w:t>
            </w:r>
          </w:p>
        </w:tc>
      </w:tr>
    </w:tbl>
    <w:p w14:paraId="513477A7" w14:textId="77777777" w:rsidR="00217597" w:rsidRPr="00FA387B" w:rsidRDefault="00217597" w:rsidP="00F86015">
      <w:pPr>
        <w:spacing w:before="120" w:line="240" w:lineRule="auto"/>
        <w:rPr>
          <w:rFonts w:ascii="Times New Roman" w:hAnsi="Times New Roman"/>
          <w:b/>
        </w:rPr>
      </w:pPr>
      <w:r w:rsidRPr="00FA387B">
        <w:rPr>
          <w:rFonts w:ascii="Times New Roman" w:hAnsi="Times New Roman"/>
          <w:b/>
        </w:rPr>
        <w:t xml:space="preserve">a) Rozvoj a obnova materiálně technické základny </w:t>
      </w:r>
      <w:r w:rsidR="00E82302" w:rsidRPr="00FA387B">
        <w:rPr>
          <w:rFonts w:ascii="Times New Roman" w:hAnsi="Times New Roman"/>
          <w:b/>
        </w:rPr>
        <w:tab/>
      </w:r>
      <w:r w:rsidR="00E82302" w:rsidRPr="00FA387B">
        <w:rPr>
          <w:rFonts w:ascii="Times New Roman" w:hAnsi="Times New Roman"/>
          <w:b/>
        </w:rPr>
        <w:tab/>
      </w:r>
      <w:r w:rsidR="00E82302" w:rsidRPr="00FA387B">
        <w:rPr>
          <w:rFonts w:ascii="Times New Roman" w:hAnsi="Times New Roman"/>
          <w:b/>
        </w:rPr>
        <w:tab/>
      </w:r>
      <w:r w:rsidR="000A79F3" w:rsidRPr="00FA387B">
        <w:rPr>
          <w:rFonts w:ascii="Times New Roman" w:hAnsi="Times New Roman"/>
        </w:rPr>
        <w:t>      </w:t>
      </w:r>
      <w:r w:rsidR="007E6540" w:rsidRPr="00FA387B">
        <w:rPr>
          <w:rFonts w:ascii="Times New Roman" w:hAnsi="Times New Roman"/>
        </w:rPr>
        <w:t> </w:t>
      </w:r>
      <w:r w:rsidR="00E82302" w:rsidRPr="00FA387B">
        <w:rPr>
          <w:rFonts w:ascii="Times New Roman" w:hAnsi="Times New Roman"/>
          <w:b/>
        </w:rPr>
        <w:t>42 880</w:t>
      </w:r>
      <w:r w:rsidR="007E6540" w:rsidRPr="00FA387B">
        <w:rPr>
          <w:rFonts w:ascii="Times New Roman" w:hAnsi="Times New Roman"/>
          <w:b/>
        </w:rPr>
        <w:t> </w:t>
      </w:r>
      <w:r w:rsidR="00E82302" w:rsidRPr="00FA387B">
        <w:rPr>
          <w:rFonts w:ascii="Times New Roman" w:hAnsi="Times New Roman"/>
          <w:b/>
        </w:rPr>
        <w:t>000</w:t>
      </w:r>
      <w:r w:rsidR="007E6540" w:rsidRPr="00FA387B">
        <w:rPr>
          <w:rFonts w:ascii="Times New Roman" w:hAnsi="Times New Roman"/>
          <w:b/>
        </w:rPr>
        <w:t> </w:t>
      </w:r>
      <w:r w:rsidR="00E82302" w:rsidRPr="00FA387B">
        <w:rPr>
          <w:rFonts w:ascii="Times New Roman" w:hAnsi="Times New Roman"/>
          <w:b/>
        </w:rPr>
        <w:t>Kč</w:t>
      </w:r>
    </w:p>
    <w:p w14:paraId="513477A8" w14:textId="77777777" w:rsidR="004B24B3" w:rsidRPr="00FA387B" w:rsidRDefault="004B24B3" w:rsidP="005F74C1">
      <w:pPr>
        <w:spacing w:before="120" w:line="240" w:lineRule="auto"/>
        <w:rPr>
          <w:rFonts w:ascii="Times New Roman" w:hAnsi="Times New Roman"/>
        </w:rPr>
      </w:pPr>
      <w:r w:rsidRPr="00FA387B">
        <w:rPr>
          <w:rFonts w:ascii="Times New Roman" w:hAnsi="Times New Roman"/>
        </w:rPr>
        <w:t>Výdaje programu 134 010 - Rozvoj a obnova materiálně technické základny systému řízení MK, který řeší péči o majetek ve správě Ministerstva kultury ve smyslu vyhlášky č. 560/2006</w:t>
      </w:r>
      <w:r w:rsidR="00FA387B">
        <w:rPr>
          <w:rFonts w:ascii="Times New Roman" w:hAnsi="Times New Roman"/>
        </w:rPr>
        <w:t> </w:t>
      </w:r>
      <w:r w:rsidRPr="00FA387B">
        <w:rPr>
          <w:rFonts w:ascii="Times New Roman" w:hAnsi="Times New Roman"/>
        </w:rPr>
        <w:t>Sb., o účasti státního rozpočtu na financování programů reprodukce majetku jsou určeny na</w:t>
      </w:r>
      <w:r w:rsidR="00412836" w:rsidRPr="00FA387B">
        <w:rPr>
          <w:rFonts w:ascii="Times New Roman" w:hAnsi="Times New Roman"/>
        </w:rPr>
        <w:t> </w:t>
      </w:r>
      <w:r w:rsidRPr="00FA387B">
        <w:rPr>
          <w:rFonts w:ascii="Times New Roman" w:hAnsi="Times New Roman"/>
        </w:rPr>
        <w:t>technické zhodnocení, běžnou údržbu historických budov, obnovu a rozvoj ostatního majetku ve správě ministerstva. Program rozvoje a obnovy materiálně technické základny systému řízení MK obsahuje dva podprogramy. Výdaje na program jsou v rozpočtu na</w:t>
      </w:r>
      <w:r w:rsidR="00412836" w:rsidRPr="00FA387B">
        <w:rPr>
          <w:rFonts w:ascii="Times New Roman" w:hAnsi="Times New Roman"/>
        </w:rPr>
        <w:t> </w:t>
      </w:r>
      <w:r w:rsidRPr="00FA387B">
        <w:rPr>
          <w:rFonts w:ascii="Times New Roman" w:hAnsi="Times New Roman"/>
        </w:rPr>
        <w:t xml:space="preserve">rok 2016 v objemu </w:t>
      </w:r>
      <w:r w:rsidR="00326EC0" w:rsidRPr="00FA387B">
        <w:rPr>
          <w:rFonts w:ascii="Times New Roman" w:hAnsi="Times New Roman"/>
        </w:rPr>
        <w:t>42</w:t>
      </w:r>
      <w:r w:rsidR="00FE2FF4" w:rsidRPr="00FA387B">
        <w:rPr>
          <w:rFonts w:ascii="Times New Roman" w:hAnsi="Times New Roman"/>
        </w:rPr>
        <w:t xml:space="preserve"> 880</w:t>
      </w:r>
      <w:r w:rsidRPr="00FA387B">
        <w:rPr>
          <w:rFonts w:ascii="Times New Roman" w:hAnsi="Times New Roman"/>
        </w:rPr>
        <w:t xml:space="preserve"> tis. Kč (</w:t>
      </w:r>
      <w:r w:rsidR="00326EC0" w:rsidRPr="00FA387B">
        <w:rPr>
          <w:rFonts w:ascii="Times New Roman" w:hAnsi="Times New Roman"/>
        </w:rPr>
        <w:t>38</w:t>
      </w:r>
      <w:r w:rsidRPr="00FA387B">
        <w:rPr>
          <w:rFonts w:ascii="Times New Roman" w:hAnsi="Times New Roman"/>
        </w:rPr>
        <w:t xml:space="preserve"> 000 tis</w:t>
      </w:r>
      <w:r w:rsidR="00D27CB0" w:rsidRPr="00FA387B">
        <w:rPr>
          <w:rFonts w:ascii="Times New Roman" w:hAnsi="Times New Roman"/>
        </w:rPr>
        <w:t>.</w:t>
      </w:r>
      <w:r w:rsidRPr="00FA387B">
        <w:rPr>
          <w:rFonts w:ascii="Times New Roman" w:hAnsi="Times New Roman"/>
        </w:rPr>
        <w:t xml:space="preserve"> Kč na pořízení, obnovu </w:t>
      </w:r>
      <w:r w:rsidR="00060EF8" w:rsidRPr="009B5908">
        <w:rPr>
          <w:rFonts w:ascii="Times New Roman" w:hAnsi="Times New Roman"/>
        </w:rPr>
        <w:br/>
      </w:r>
      <w:r w:rsidRPr="00FA387B">
        <w:rPr>
          <w:rFonts w:ascii="Times New Roman" w:hAnsi="Times New Roman"/>
        </w:rPr>
        <w:t xml:space="preserve">a provozování ICT systému řízení MK a </w:t>
      </w:r>
      <w:r w:rsidR="00D27CB0" w:rsidRPr="00FA387B">
        <w:rPr>
          <w:rFonts w:ascii="Times New Roman" w:hAnsi="Times New Roman"/>
        </w:rPr>
        <w:t>4 880</w:t>
      </w:r>
      <w:r w:rsidRPr="00FA387B">
        <w:rPr>
          <w:rFonts w:ascii="Times New Roman" w:hAnsi="Times New Roman"/>
        </w:rPr>
        <w:t xml:space="preserve"> tis. Kč na reprodukci majetku ministerstva). Ve</w:t>
      </w:r>
      <w:r w:rsidR="00FA387B">
        <w:rPr>
          <w:rFonts w:ascii="Times New Roman" w:hAnsi="Times New Roman"/>
        </w:rPr>
        <w:t> </w:t>
      </w:r>
      <w:r w:rsidRPr="00FA387B">
        <w:rPr>
          <w:rFonts w:ascii="Times New Roman" w:hAnsi="Times New Roman"/>
        </w:rPr>
        <w:t>srovnání se schváleným rozpočtem na rok 201</w:t>
      </w:r>
      <w:r w:rsidR="00D27CB0" w:rsidRPr="00FA387B">
        <w:rPr>
          <w:rFonts w:ascii="Times New Roman" w:hAnsi="Times New Roman"/>
        </w:rPr>
        <w:t>5</w:t>
      </w:r>
      <w:r w:rsidRPr="00FA387B">
        <w:rPr>
          <w:rFonts w:ascii="Times New Roman" w:hAnsi="Times New Roman"/>
        </w:rPr>
        <w:t xml:space="preserve"> je objem prostředků programu </w:t>
      </w:r>
      <w:r w:rsidR="00EA3962" w:rsidRPr="009B5908">
        <w:rPr>
          <w:rFonts w:ascii="Times New Roman" w:hAnsi="Times New Roman"/>
        </w:rPr>
        <w:br/>
      </w:r>
      <w:r w:rsidRPr="00FA387B">
        <w:rPr>
          <w:rFonts w:ascii="Times New Roman" w:hAnsi="Times New Roman"/>
        </w:rPr>
        <w:t xml:space="preserve">o </w:t>
      </w:r>
      <w:r w:rsidR="00B25937" w:rsidRPr="00FA387B">
        <w:rPr>
          <w:rFonts w:ascii="Times New Roman" w:hAnsi="Times New Roman"/>
        </w:rPr>
        <w:t>33 497</w:t>
      </w:r>
      <w:r w:rsidR="00D27CB0" w:rsidRPr="00FA387B">
        <w:rPr>
          <w:rFonts w:ascii="Times New Roman" w:hAnsi="Times New Roman"/>
        </w:rPr>
        <w:t xml:space="preserve"> </w:t>
      </w:r>
      <w:r w:rsidRPr="00FA387B">
        <w:rPr>
          <w:rFonts w:ascii="Times New Roman" w:hAnsi="Times New Roman"/>
        </w:rPr>
        <w:t xml:space="preserve">tis. Kč </w:t>
      </w:r>
      <w:r w:rsidR="00B25937" w:rsidRPr="00FA387B">
        <w:rPr>
          <w:rFonts w:ascii="Times New Roman" w:hAnsi="Times New Roman"/>
        </w:rPr>
        <w:t>navýšený především na pořízení, obnovu a provozování ICT systému řízení M</w:t>
      </w:r>
      <w:r w:rsidR="003E6D51">
        <w:rPr>
          <w:rFonts w:ascii="Times New Roman" w:hAnsi="Times New Roman"/>
        </w:rPr>
        <w:t>inisterstva kultury</w:t>
      </w:r>
      <w:r w:rsidRPr="00FA387B">
        <w:rPr>
          <w:rFonts w:ascii="Times New Roman" w:hAnsi="Times New Roman"/>
        </w:rPr>
        <w:t>.</w:t>
      </w:r>
    </w:p>
    <w:p w14:paraId="513477A9" w14:textId="77777777" w:rsidR="00217597" w:rsidRPr="00FA387B" w:rsidRDefault="00217597" w:rsidP="005F74C1">
      <w:pPr>
        <w:spacing w:before="120" w:line="240" w:lineRule="auto"/>
        <w:rPr>
          <w:rFonts w:ascii="Times New Roman" w:hAnsi="Times New Roman"/>
          <w:b/>
        </w:rPr>
      </w:pPr>
      <w:r w:rsidRPr="00FA387B">
        <w:rPr>
          <w:rFonts w:ascii="Times New Roman" w:hAnsi="Times New Roman"/>
          <w:b/>
        </w:rPr>
        <w:t>b) Neinvestiční výdaje na projekty spolufinancované z rozpočtu Evropské unie</w:t>
      </w:r>
      <w:r w:rsidR="00E82302" w:rsidRPr="00FA387B">
        <w:rPr>
          <w:rFonts w:ascii="Times New Roman" w:hAnsi="Times New Roman"/>
          <w:b/>
        </w:rPr>
        <w:tab/>
        <w:t>0</w:t>
      </w:r>
      <w:r w:rsidR="007E6540" w:rsidRPr="00FA387B">
        <w:rPr>
          <w:rFonts w:ascii="Times New Roman" w:hAnsi="Times New Roman"/>
          <w:b/>
        </w:rPr>
        <w:t> </w:t>
      </w:r>
      <w:r w:rsidR="00E82302" w:rsidRPr="00FA387B">
        <w:rPr>
          <w:rFonts w:ascii="Times New Roman" w:hAnsi="Times New Roman"/>
          <w:b/>
        </w:rPr>
        <w:t>Kč</w:t>
      </w:r>
    </w:p>
    <w:p w14:paraId="513477AA" w14:textId="77777777" w:rsidR="006731FF" w:rsidRPr="00FA387B" w:rsidRDefault="004B24B3" w:rsidP="005F74C1">
      <w:pPr>
        <w:pStyle w:val="Zhlav"/>
        <w:spacing w:before="120"/>
        <w:rPr>
          <w:rFonts w:ascii="Times New Roman" w:hAnsi="Times New Roman"/>
        </w:rPr>
      </w:pPr>
      <w:r w:rsidRPr="00FA387B">
        <w:rPr>
          <w:rFonts w:ascii="Times New Roman" w:hAnsi="Times New Roman"/>
        </w:rPr>
        <w:t>Prostředky na neinvestiční výdaje na projekty spolufinancované z rozpočtu Evropské unie nejsou požadovány</w:t>
      </w:r>
      <w:r w:rsidR="00605D31" w:rsidRPr="00FA387B">
        <w:rPr>
          <w:rFonts w:ascii="Times New Roman" w:hAnsi="Times New Roman"/>
        </w:rPr>
        <w:t>, jedná se o projekty končícího programového období:</w:t>
      </w:r>
    </w:p>
    <w:p w14:paraId="513477AB" w14:textId="77777777" w:rsidR="006731FF" w:rsidRPr="00FA387B" w:rsidRDefault="006731FF" w:rsidP="00685B74">
      <w:pPr>
        <w:spacing w:line="240" w:lineRule="auto"/>
        <w:rPr>
          <w:rFonts w:ascii="Times New Roman" w:hAnsi="Times New Roman"/>
        </w:rPr>
      </w:pPr>
      <w:r w:rsidRPr="00FA387B">
        <w:rPr>
          <w:rFonts w:ascii="Times New Roman" w:hAnsi="Times New Roman"/>
        </w:rPr>
        <w:t>ESF – Lidské zdroje a zaměstnanost</w:t>
      </w:r>
      <w:r w:rsidRPr="00FA387B">
        <w:rPr>
          <w:rFonts w:ascii="Times New Roman" w:hAnsi="Times New Roman"/>
        </w:rPr>
        <w:tab/>
      </w:r>
      <w:r w:rsidRPr="00FA387B">
        <w:rPr>
          <w:rFonts w:ascii="Times New Roman" w:hAnsi="Times New Roman"/>
        </w:rPr>
        <w:tab/>
      </w:r>
      <w:r w:rsidRPr="00FA387B">
        <w:rPr>
          <w:rFonts w:ascii="Times New Roman" w:hAnsi="Times New Roman"/>
        </w:rPr>
        <w:tab/>
      </w:r>
      <w:r w:rsidRPr="00FA387B">
        <w:rPr>
          <w:rFonts w:ascii="Times New Roman" w:hAnsi="Times New Roman"/>
        </w:rPr>
        <w:tab/>
      </w:r>
      <w:r w:rsidRPr="00FA387B">
        <w:rPr>
          <w:rFonts w:ascii="Times New Roman" w:hAnsi="Times New Roman"/>
        </w:rPr>
        <w:tab/>
      </w:r>
      <w:r w:rsidRPr="00FA387B">
        <w:rPr>
          <w:rFonts w:ascii="Times New Roman" w:hAnsi="Times New Roman"/>
        </w:rPr>
        <w:tab/>
      </w:r>
      <w:r w:rsidRPr="00FA387B">
        <w:rPr>
          <w:rFonts w:ascii="Times New Roman" w:hAnsi="Times New Roman"/>
        </w:rPr>
        <w:tab/>
      </w:r>
      <w:r w:rsidRPr="00FA387B">
        <w:rPr>
          <w:rFonts w:ascii="Times New Roman" w:hAnsi="Times New Roman"/>
        </w:rPr>
        <w:tab/>
        <w:t>0</w:t>
      </w:r>
      <w:r w:rsidR="007E6540" w:rsidRPr="00FA387B">
        <w:rPr>
          <w:rFonts w:ascii="Times New Roman" w:hAnsi="Times New Roman"/>
        </w:rPr>
        <w:t> </w:t>
      </w:r>
      <w:r w:rsidRPr="00FA387B">
        <w:rPr>
          <w:rFonts w:ascii="Times New Roman" w:hAnsi="Times New Roman"/>
        </w:rPr>
        <w:t>Kč</w:t>
      </w:r>
    </w:p>
    <w:p w14:paraId="513477AC" w14:textId="77777777" w:rsidR="006731FF" w:rsidRPr="00FA387B" w:rsidRDefault="006731FF" w:rsidP="00685B74">
      <w:pPr>
        <w:spacing w:line="240" w:lineRule="auto"/>
        <w:rPr>
          <w:rFonts w:ascii="Times New Roman" w:hAnsi="Times New Roman"/>
        </w:rPr>
      </w:pPr>
      <w:r w:rsidRPr="00FA387B">
        <w:rPr>
          <w:rFonts w:ascii="Times New Roman" w:hAnsi="Times New Roman"/>
        </w:rPr>
        <w:t xml:space="preserve">ERDF – Rozvoj informační společnosti ve veřejné správě </w:t>
      </w:r>
      <w:r w:rsidRPr="00FA387B">
        <w:rPr>
          <w:rFonts w:ascii="Times New Roman" w:hAnsi="Times New Roman"/>
        </w:rPr>
        <w:tab/>
      </w:r>
      <w:r w:rsidRPr="00FA387B">
        <w:rPr>
          <w:rFonts w:ascii="Times New Roman" w:hAnsi="Times New Roman"/>
        </w:rPr>
        <w:tab/>
      </w:r>
      <w:r w:rsidRPr="00FA387B">
        <w:rPr>
          <w:rFonts w:ascii="Times New Roman" w:hAnsi="Times New Roman"/>
        </w:rPr>
        <w:tab/>
      </w:r>
      <w:r w:rsidRPr="00FA387B">
        <w:rPr>
          <w:rFonts w:ascii="Times New Roman" w:hAnsi="Times New Roman"/>
        </w:rPr>
        <w:tab/>
      </w:r>
      <w:r w:rsidRPr="00FA387B">
        <w:rPr>
          <w:rFonts w:ascii="Times New Roman" w:hAnsi="Times New Roman"/>
        </w:rPr>
        <w:tab/>
      </w:r>
      <w:r w:rsidR="007E6540" w:rsidRPr="00FA387B">
        <w:rPr>
          <w:rFonts w:ascii="Times New Roman" w:hAnsi="Times New Roman"/>
        </w:rPr>
        <w:t>0 Kč</w:t>
      </w:r>
    </w:p>
    <w:p w14:paraId="513477AD" w14:textId="77777777" w:rsidR="006731FF" w:rsidRPr="00FA387B" w:rsidRDefault="006731FF" w:rsidP="00685B74">
      <w:pPr>
        <w:spacing w:line="240" w:lineRule="auto"/>
        <w:rPr>
          <w:rFonts w:ascii="Times New Roman" w:hAnsi="Times New Roman"/>
        </w:rPr>
      </w:pPr>
      <w:r w:rsidRPr="00FA387B">
        <w:rPr>
          <w:rFonts w:ascii="Times New Roman" w:hAnsi="Times New Roman"/>
        </w:rPr>
        <w:t>ESF - Operační program Vzdělávání pro konkurenceschopnost</w:t>
      </w:r>
      <w:r w:rsidRPr="00FA387B">
        <w:rPr>
          <w:rFonts w:ascii="Times New Roman" w:hAnsi="Times New Roman"/>
        </w:rPr>
        <w:tab/>
      </w:r>
      <w:r w:rsidRPr="00FA387B">
        <w:rPr>
          <w:rFonts w:ascii="Times New Roman" w:hAnsi="Times New Roman"/>
        </w:rPr>
        <w:tab/>
      </w:r>
      <w:r w:rsidRPr="00FA387B">
        <w:rPr>
          <w:rFonts w:ascii="Times New Roman" w:hAnsi="Times New Roman"/>
        </w:rPr>
        <w:tab/>
      </w:r>
      <w:r w:rsidRPr="00FA387B">
        <w:rPr>
          <w:rFonts w:ascii="Times New Roman" w:hAnsi="Times New Roman"/>
        </w:rPr>
        <w:tab/>
      </w:r>
      <w:r w:rsidR="007E6540" w:rsidRPr="00FA387B">
        <w:rPr>
          <w:rFonts w:ascii="Times New Roman" w:hAnsi="Times New Roman"/>
        </w:rPr>
        <w:t>0 Kč</w:t>
      </w:r>
    </w:p>
    <w:p w14:paraId="513477AE" w14:textId="77777777" w:rsidR="00217597" w:rsidRPr="00FA387B" w:rsidRDefault="00217597" w:rsidP="005F74C1">
      <w:pPr>
        <w:spacing w:before="120" w:line="240" w:lineRule="auto"/>
        <w:rPr>
          <w:rFonts w:ascii="Times New Roman" w:hAnsi="Times New Roman"/>
          <w:b/>
        </w:rPr>
      </w:pPr>
      <w:r w:rsidRPr="00FA387B">
        <w:rPr>
          <w:rFonts w:ascii="Times New Roman" w:hAnsi="Times New Roman"/>
          <w:b/>
        </w:rPr>
        <w:lastRenderedPageBreak/>
        <w:t>c) výdaje na činnost úřadu</w:t>
      </w:r>
      <w:r w:rsidR="00E82302" w:rsidRPr="00FA387B">
        <w:rPr>
          <w:rFonts w:ascii="Times New Roman" w:hAnsi="Times New Roman"/>
          <w:b/>
        </w:rPr>
        <w:tab/>
      </w:r>
      <w:r w:rsidR="00E82302" w:rsidRPr="00FA387B">
        <w:rPr>
          <w:rFonts w:ascii="Times New Roman" w:hAnsi="Times New Roman"/>
          <w:b/>
        </w:rPr>
        <w:tab/>
      </w:r>
      <w:r w:rsidR="00E82302" w:rsidRPr="00FA387B">
        <w:rPr>
          <w:rFonts w:ascii="Times New Roman" w:hAnsi="Times New Roman"/>
          <w:b/>
        </w:rPr>
        <w:tab/>
      </w:r>
      <w:r w:rsidR="00E82302" w:rsidRPr="00FA387B">
        <w:rPr>
          <w:rFonts w:ascii="Times New Roman" w:hAnsi="Times New Roman"/>
          <w:b/>
        </w:rPr>
        <w:tab/>
      </w:r>
      <w:r w:rsidR="00E82302" w:rsidRPr="00FA387B">
        <w:rPr>
          <w:rFonts w:ascii="Times New Roman" w:hAnsi="Times New Roman"/>
          <w:b/>
        </w:rPr>
        <w:tab/>
      </w:r>
      <w:r w:rsidR="00E82302" w:rsidRPr="00FA387B">
        <w:rPr>
          <w:rFonts w:ascii="Times New Roman" w:hAnsi="Times New Roman"/>
          <w:b/>
        </w:rPr>
        <w:tab/>
      </w:r>
      <w:r w:rsidR="00E82302" w:rsidRPr="00FA387B">
        <w:rPr>
          <w:rFonts w:ascii="Times New Roman" w:hAnsi="Times New Roman"/>
          <w:b/>
        </w:rPr>
        <w:tab/>
      </w:r>
      <w:r w:rsidR="000A79F3" w:rsidRPr="00FA387B">
        <w:rPr>
          <w:rFonts w:ascii="Times New Roman" w:hAnsi="Times New Roman"/>
        </w:rPr>
        <w:t>      </w:t>
      </w:r>
      <w:r w:rsidR="000A79F3" w:rsidRPr="00FA387B">
        <w:rPr>
          <w:rFonts w:ascii="Times New Roman" w:hAnsi="Times New Roman"/>
          <w:b/>
        </w:rPr>
        <w:t> </w:t>
      </w:r>
      <w:r w:rsidR="00E82302" w:rsidRPr="00FA387B">
        <w:rPr>
          <w:rFonts w:ascii="Times New Roman" w:hAnsi="Times New Roman"/>
          <w:b/>
        </w:rPr>
        <w:t>25</w:t>
      </w:r>
      <w:r w:rsidR="003358AF" w:rsidRPr="00FA387B">
        <w:rPr>
          <w:rFonts w:ascii="Times New Roman" w:hAnsi="Times New Roman"/>
          <w:b/>
        </w:rPr>
        <w:t>6</w:t>
      </w:r>
      <w:r w:rsidR="007E6540" w:rsidRPr="00FA387B">
        <w:rPr>
          <w:rFonts w:ascii="Times New Roman" w:hAnsi="Times New Roman"/>
          <w:b/>
        </w:rPr>
        <w:t> </w:t>
      </w:r>
      <w:r w:rsidR="003358AF" w:rsidRPr="00FA387B">
        <w:rPr>
          <w:rFonts w:ascii="Times New Roman" w:hAnsi="Times New Roman"/>
          <w:b/>
        </w:rPr>
        <w:t>175</w:t>
      </w:r>
      <w:r w:rsidR="007E6540" w:rsidRPr="00FA387B">
        <w:rPr>
          <w:rFonts w:ascii="Times New Roman" w:hAnsi="Times New Roman"/>
          <w:b/>
        </w:rPr>
        <w:t> </w:t>
      </w:r>
      <w:r w:rsidR="003358AF" w:rsidRPr="00FA387B">
        <w:rPr>
          <w:rFonts w:ascii="Times New Roman" w:hAnsi="Times New Roman"/>
          <w:b/>
        </w:rPr>
        <w:t>364</w:t>
      </w:r>
      <w:r w:rsidR="007E6540" w:rsidRPr="00FA387B">
        <w:rPr>
          <w:rFonts w:ascii="Times New Roman" w:hAnsi="Times New Roman"/>
          <w:b/>
        </w:rPr>
        <w:t> </w:t>
      </w:r>
      <w:r w:rsidR="00E82302" w:rsidRPr="00FA387B">
        <w:rPr>
          <w:rFonts w:ascii="Times New Roman" w:hAnsi="Times New Roman"/>
          <w:b/>
        </w:rPr>
        <w:t>Kč</w:t>
      </w:r>
    </w:p>
    <w:p w14:paraId="513477AF" w14:textId="77777777" w:rsidR="00217597" w:rsidRPr="00FA387B" w:rsidRDefault="006731FF" w:rsidP="005F74C1">
      <w:pPr>
        <w:spacing w:before="120" w:line="240" w:lineRule="auto"/>
        <w:rPr>
          <w:rFonts w:ascii="Times New Roman" w:hAnsi="Times New Roman"/>
          <w:u w:val="single"/>
        </w:rPr>
      </w:pPr>
      <w:r w:rsidRPr="00FA387B">
        <w:rPr>
          <w:rFonts w:ascii="Times New Roman" w:hAnsi="Times New Roman"/>
          <w:u w:val="single"/>
        </w:rPr>
        <w:t xml:space="preserve">Věcné výdaje </w:t>
      </w:r>
      <w:r w:rsidR="00165A2C" w:rsidRPr="00FA387B">
        <w:rPr>
          <w:rFonts w:ascii="Times New Roman" w:hAnsi="Times New Roman"/>
          <w:u w:val="single"/>
        </w:rPr>
        <w:t>úřadu</w:t>
      </w:r>
      <w:r w:rsidRPr="00FA387B">
        <w:rPr>
          <w:rFonts w:ascii="Times New Roman" w:hAnsi="Times New Roman"/>
          <w:u w:val="single"/>
        </w:rPr>
        <w:tab/>
      </w:r>
      <w:r w:rsidRPr="00FA387B">
        <w:rPr>
          <w:rFonts w:ascii="Times New Roman" w:hAnsi="Times New Roman"/>
          <w:u w:val="single"/>
        </w:rPr>
        <w:tab/>
      </w:r>
      <w:r w:rsidRPr="00FA387B">
        <w:rPr>
          <w:rFonts w:ascii="Times New Roman" w:hAnsi="Times New Roman"/>
          <w:u w:val="single"/>
        </w:rPr>
        <w:tab/>
      </w:r>
      <w:r w:rsidRPr="00FA387B">
        <w:rPr>
          <w:rFonts w:ascii="Times New Roman" w:hAnsi="Times New Roman"/>
          <w:u w:val="single"/>
        </w:rPr>
        <w:tab/>
      </w:r>
      <w:r w:rsidRPr="00FA387B">
        <w:rPr>
          <w:rFonts w:ascii="Times New Roman" w:hAnsi="Times New Roman"/>
          <w:u w:val="single"/>
        </w:rPr>
        <w:tab/>
      </w:r>
      <w:r w:rsidRPr="00FA387B">
        <w:rPr>
          <w:rFonts w:ascii="Times New Roman" w:hAnsi="Times New Roman"/>
          <w:u w:val="single"/>
        </w:rPr>
        <w:tab/>
      </w:r>
      <w:r w:rsidRPr="00FA387B">
        <w:rPr>
          <w:rFonts w:ascii="Times New Roman" w:hAnsi="Times New Roman"/>
          <w:u w:val="single"/>
        </w:rPr>
        <w:tab/>
      </w:r>
      <w:r w:rsidR="006E7F7D" w:rsidRPr="00FA387B">
        <w:rPr>
          <w:rFonts w:ascii="Times New Roman" w:hAnsi="Times New Roman"/>
          <w:u w:val="single"/>
        </w:rPr>
        <w:tab/>
      </w:r>
      <w:r w:rsidRPr="00FA387B">
        <w:rPr>
          <w:rFonts w:ascii="Times New Roman" w:hAnsi="Times New Roman"/>
          <w:u w:val="single"/>
        </w:rPr>
        <w:t>       </w:t>
      </w:r>
      <w:r w:rsidR="00F9723D" w:rsidRPr="00FA387B">
        <w:rPr>
          <w:rFonts w:ascii="Times New Roman" w:hAnsi="Times New Roman"/>
          <w:u w:val="single"/>
        </w:rPr>
        <w:t>73 091 269</w:t>
      </w:r>
      <w:r w:rsidRPr="00FA387B">
        <w:rPr>
          <w:rFonts w:ascii="Times New Roman" w:hAnsi="Times New Roman"/>
          <w:u w:val="single"/>
        </w:rPr>
        <w:t> Kč</w:t>
      </w:r>
    </w:p>
    <w:p w14:paraId="513477B0" w14:textId="77777777" w:rsidR="006731FF" w:rsidRPr="00FA387B" w:rsidRDefault="006731FF" w:rsidP="005F74C1">
      <w:pPr>
        <w:pStyle w:val="Zhlav"/>
        <w:spacing w:before="120"/>
        <w:rPr>
          <w:rFonts w:ascii="Times New Roman" w:hAnsi="Times New Roman"/>
        </w:rPr>
      </w:pPr>
      <w:r w:rsidRPr="00FA387B">
        <w:rPr>
          <w:rFonts w:ascii="Times New Roman" w:hAnsi="Times New Roman"/>
        </w:rPr>
        <w:t xml:space="preserve">Věcné výdaje na provoz úřadu jsou rozpočtovány v objemu </w:t>
      </w:r>
      <w:r w:rsidR="00F9723D" w:rsidRPr="00FA387B">
        <w:rPr>
          <w:rFonts w:ascii="Times New Roman" w:hAnsi="Times New Roman"/>
        </w:rPr>
        <w:t>7</w:t>
      </w:r>
      <w:r w:rsidR="001F701E" w:rsidRPr="00FA387B">
        <w:rPr>
          <w:rFonts w:ascii="Times New Roman" w:hAnsi="Times New Roman"/>
        </w:rPr>
        <w:t>3</w:t>
      </w:r>
      <w:r w:rsidR="00F9723D" w:rsidRPr="00FA387B">
        <w:rPr>
          <w:rFonts w:ascii="Times New Roman" w:hAnsi="Times New Roman"/>
        </w:rPr>
        <w:t> </w:t>
      </w:r>
      <w:r w:rsidR="001F701E" w:rsidRPr="00FA387B">
        <w:rPr>
          <w:rFonts w:ascii="Times New Roman" w:hAnsi="Times New Roman"/>
        </w:rPr>
        <w:t>091</w:t>
      </w:r>
      <w:r w:rsidR="00F9723D" w:rsidRPr="00FA387B">
        <w:rPr>
          <w:rFonts w:ascii="Times New Roman" w:hAnsi="Times New Roman"/>
        </w:rPr>
        <w:t>,</w:t>
      </w:r>
      <w:r w:rsidR="001F701E" w:rsidRPr="00FA387B">
        <w:rPr>
          <w:rFonts w:ascii="Times New Roman" w:hAnsi="Times New Roman"/>
        </w:rPr>
        <w:t>27</w:t>
      </w:r>
      <w:r w:rsidRPr="00FA387B">
        <w:rPr>
          <w:rFonts w:ascii="Times New Roman" w:hAnsi="Times New Roman"/>
        </w:rPr>
        <w:t xml:space="preserve"> tis. Kč. V</w:t>
      </w:r>
      <w:r w:rsidR="003E6D51">
        <w:rPr>
          <w:rFonts w:ascii="Times New Roman" w:hAnsi="Times New Roman"/>
        </w:rPr>
        <w:t>e</w:t>
      </w:r>
      <w:r w:rsidRPr="00FA387B">
        <w:rPr>
          <w:rFonts w:ascii="Times New Roman" w:hAnsi="Times New Roman"/>
        </w:rPr>
        <w:t> </w:t>
      </w:r>
      <w:r w:rsidR="003E6D51">
        <w:rPr>
          <w:rFonts w:ascii="Times New Roman" w:hAnsi="Times New Roman"/>
        </w:rPr>
        <w:t xml:space="preserve">schváleném </w:t>
      </w:r>
      <w:r w:rsidRPr="00FA387B">
        <w:rPr>
          <w:rFonts w:ascii="Times New Roman" w:hAnsi="Times New Roman"/>
        </w:rPr>
        <w:t>rozpočtu jsou zahrnuty, mimo běžných výdajů na zabezpečení provozu úřadu</w:t>
      </w:r>
      <w:r w:rsidR="005A1F85" w:rsidRPr="00FA387B">
        <w:rPr>
          <w:rFonts w:ascii="Times New Roman" w:hAnsi="Times New Roman"/>
        </w:rPr>
        <w:t>,</w:t>
      </w:r>
      <w:r w:rsidR="00CB043A" w:rsidRPr="00FA387B">
        <w:rPr>
          <w:rFonts w:ascii="Times New Roman" w:hAnsi="Times New Roman"/>
        </w:rPr>
        <w:t xml:space="preserve"> výdaje podle </w:t>
      </w:r>
      <w:r w:rsidRPr="00FA387B">
        <w:rPr>
          <w:rFonts w:ascii="Times New Roman" w:hAnsi="Times New Roman"/>
        </w:rPr>
        <w:t xml:space="preserve">nařízení vlády č. </w:t>
      </w:r>
      <w:r w:rsidR="00E80BBD" w:rsidRPr="00FA387B">
        <w:rPr>
          <w:rFonts w:ascii="Times New Roman" w:hAnsi="Times New Roman"/>
        </w:rPr>
        <w:t>26/2015</w:t>
      </w:r>
      <w:r w:rsidR="007C278B" w:rsidRPr="00FA387B">
        <w:rPr>
          <w:rFonts w:ascii="Times New Roman" w:hAnsi="Times New Roman"/>
        </w:rPr>
        <w:t xml:space="preserve"> ze dne 28. ledna 2015</w:t>
      </w:r>
      <w:r w:rsidRPr="00FA387B">
        <w:rPr>
          <w:rFonts w:ascii="Times New Roman" w:hAnsi="Times New Roman"/>
        </w:rPr>
        <w:t>, kterým se mění nařízení vlády č. 5/2003 Sb., o</w:t>
      </w:r>
      <w:r w:rsidR="00781563">
        <w:rPr>
          <w:rFonts w:ascii="Times New Roman" w:hAnsi="Times New Roman"/>
        </w:rPr>
        <w:t> </w:t>
      </w:r>
      <w:r w:rsidRPr="00FA387B">
        <w:rPr>
          <w:rFonts w:ascii="Times New Roman" w:hAnsi="Times New Roman"/>
        </w:rPr>
        <w:t xml:space="preserve">oceněních v oblasti kultury udělované Ministerstvem kultury ve znění </w:t>
      </w:r>
      <w:r w:rsidR="007C278B" w:rsidRPr="00FA387B">
        <w:rPr>
          <w:rFonts w:ascii="Times New Roman" w:hAnsi="Times New Roman"/>
        </w:rPr>
        <w:t>pozdějších předpisů</w:t>
      </w:r>
      <w:r w:rsidRPr="00FA387B">
        <w:rPr>
          <w:rFonts w:ascii="Times New Roman" w:hAnsi="Times New Roman"/>
        </w:rPr>
        <w:t>. Výdaje na zajištění přípravy na krizové situace podle zákona</w:t>
      </w:r>
      <w:r w:rsidR="00E80BBD" w:rsidRPr="00FA387B">
        <w:rPr>
          <w:rFonts w:ascii="Times New Roman" w:hAnsi="Times New Roman"/>
        </w:rPr>
        <w:t xml:space="preserve"> </w:t>
      </w:r>
      <w:r w:rsidRPr="00FA387B">
        <w:rPr>
          <w:rFonts w:ascii="Times New Roman" w:hAnsi="Times New Roman"/>
        </w:rPr>
        <w:t>č. 240/2000 Sb. v objemu 50</w:t>
      </w:r>
      <w:r w:rsidR="00781563">
        <w:rPr>
          <w:rFonts w:ascii="Times New Roman" w:hAnsi="Times New Roman"/>
        </w:rPr>
        <w:t> </w:t>
      </w:r>
      <w:r w:rsidRPr="00FA387B">
        <w:rPr>
          <w:rFonts w:ascii="Times New Roman" w:hAnsi="Times New Roman"/>
        </w:rPr>
        <w:t>tis.</w:t>
      </w:r>
      <w:r w:rsidR="00781563">
        <w:rPr>
          <w:rFonts w:ascii="Times New Roman" w:hAnsi="Times New Roman"/>
        </w:rPr>
        <w:t> </w:t>
      </w:r>
      <w:r w:rsidRPr="00FA387B">
        <w:rPr>
          <w:rFonts w:ascii="Times New Roman" w:hAnsi="Times New Roman"/>
        </w:rPr>
        <w:t>Kč jsou rozpočtovány na úrovni schváleného rozpočtu na rok 2015.</w:t>
      </w:r>
    </w:p>
    <w:p w14:paraId="513477B1" w14:textId="77777777" w:rsidR="006731FF" w:rsidRPr="00781563" w:rsidRDefault="006731FF" w:rsidP="003150D7">
      <w:pPr>
        <w:spacing w:before="120" w:line="240" w:lineRule="auto"/>
        <w:rPr>
          <w:rFonts w:ascii="Times New Roman" w:hAnsi="Times New Roman"/>
          <w:u w:val="single"/>
        </w:rPr>
      </w:pPr>
      <w:r w:rsidRPr="00781563">
        <w:rPr>
          <w:rFonts w:ascii="Times New Roman" w:hAnsi="Times New Roman"/>
          <w:u w:val="single"/>
        </w:rPr>
        <w:t>Výdaje na platy a ostatní platby za provedenou práci</w:t>
      </w:r>
      <w:r w:rsidR="00781563">
        <w:rPr>
          <w:rFonts w:ascii="Times New Roman" w:hAnsi="Times New Roman"/>
          <w:u w:val="single"/>
        </w:rPr>
        <w:t xml:space="preserve"> vč. příslušenství</w:t>
      </w:r>
      <w:r w:rsidRPr="00781563">
        <w:rPr>
          <w:rFonts w:ascii="Times New Roman" w:hAnsi="Times New Roman"/>
          <w:u w:val="single"/>
        </w:rPr>
        <w:tab/>
      </w:r>
      <w:r w:rsidR="002A134A" w:rsidRPr="00781563">
        <w:rPr>
          <w:rFonts w:ascii="Times New Roman" w:hAnsi="Times New Roman"/>
          <w:u w:val="single"/>
        </w:rPr>
        <w:t>    </w:t>
      </w:r>
      <w:r w:rsidRPr="00781563">
        <w:rPr>
          <w:rFonts w:ascii="Times New Roman" w:hAnsi="Times New Roman"/>
          <w:u w:val="single"/>
        </w:rPr>
        <w:t>  </w:t>
      </w:r>
      <w:r w:rsidR="005837FE" w:rsidRPr="00781563">
        <w:rPr>
          <w:rFonts w:ascii="Times New Roman" w:hAnsi="Times New Roman"/>
          <w:u w:val="single"/>
        </w:rPr>
        <w:t>1</w:t>
      </w:r>
      <w:r w:rsidR="00781563">
        <w:rPr>
          <w:rFonts w:ascii="Times New Roman" w:hAnsi="Times New Roman"/>
          <w:u w:val="single"/>
        </w:rPr>
        <w:t>8</w:t>
      </w:r>
      <w:r w:rsidR="005837FE" w:rsidRPr="00781563">
        <w:rPr>
          <w:rFonts w:ascii="Times New Roman" w:hAnsi="Times New Roman"/>
          <w:u w:val="single"/>
        </w:rPr>
        <w:t>3</w:t>
      </w:r>
      <w:r w:rsidR="007E6540" w:rsidRPr="00781563">
        <w:rPr>
          <w:rFonts w:ascii="Times New Roman" w:hAnsi="Times New Roman"/>
          <w:u w:val="single"/>
        </w:rPr>
        <w:t> </w:t>
      </w:r>
      <w:r w:rsidR="00781563">
        <w:rPr>
          <w:rFonts w:ascii="Times New Roman" w:hAnsi="Times New Roman"/>
          <w:u w:val="single"/>
        </w:rPr>
        <w:t>084</w:t>
      </w:r>
      <w:r w:rsidR="007E6540" w:rsidRPr="00781563">
        <w:rPr>
          <w:rFonts w:ascii="Times New Roman" w:hAnsi="Times New Roman"/>
          <w:u w:val="single"/>
        </w:rPr>
        <w:t> </w:t>
      </w:r>
      <w:r w:rsidR="00781563">
        <w:rPr>
          <w:rFonts w:ascii="Times New Roman" w:hAnsi="Times New Roman"/>
          <w:u w:val="single"/>
        </w:rPr>
        <w:t>095</w:t>
      </w:r>
      <w:r w:rsidR="007E6540" w:rsidRPr="00781563">
        <w:rPr>
          <w:rFonts w:ascii="Times New Roman" w:hAnsi="Times New Roman"/>
          <w:u w:val="single"/>
        </w:rPr>
        <w:t> </w:t>
      </w:r>
      <w:r w:rsidRPr="00781563">
        <w:rPr>
          <w:rFonts w:ascii="Times New Roman" w:hAnsi="Times New Roman"/>
          <w:u w:val="single"/>
        </w:rPr>
        <w:t>Kč</w:t>
      </w:r>
    </w:p>
    <w:p w14:paraId="513477B2" w14:textId="77777777" w:rsidR="006731FF" w:rsidRDefault="006731FF" w:rsidP="00653321">
      <w:pPr>
        <w:pStyle w:val="Zhlav"/>
        <w:spacing w:before="120" w:after="120"/>
        <w:rPr>
          <w:rFonts w:ascii="Times New Roman" w:hAnsi="Times New Roman"/>
        </w:rPr>
      </w:pPr>
      <w:r w:rsidRPr="00781563">
        <w:rPr>
          <w:rFonts w:ascii="Times New Roman" w:hAnsi="Times New Roman"/>
        </w:rPr>
        <w:t>Z rozpisu směrných čísel kapitoly pro ústřední orgán byla stanovena návrhová základna na činnost úřadu takto:</w:t>
      </w:r>
    </w:p>
    <w:tbl>
      <w:tblPr>
        <w:tblW w:w="9087" w:type="dxa"/>
        <w:tblInd w:w="55" w:type="dxa"/>
        <w:tblCellMar>
          <w:left w:w="70" w:type="dxa"/>
          <w:right w:w="70" w:type="dxa"/>
        </w:tblCellMar>
        <w:tblLook w:val="04A0" w:firstRow="1" w:lastRow="0" w:firstColumn="1" w:lastColumn="0" w:noHBand="0" w:noVBand="1"/>
      </w:tblPr>
      <w:tblGrid>
        <w:gridCol w:w="740"/>
        <w:gridCol w:w="6505"/>
        <w:gridCol w:w="1842"/>
      </w:tblGrid>
      <w:tr w:rsidR="00781563" w:rsidRPr="00781563" w14:paraId="513477B5" w14:textId="77777777" w:rsidTr="0077014F">
        <w:trPr>
          <w:trHeight w:val="552"/>
        </w:trPr>
        <w:tc>
          <w:tcPr>
            <w:tcW w:w="7245" w:type="dxa"/>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513477B3" w14:textId="77777777" w:rsidR="0077014F" w:rsidRPr="00781563" w:rsidRDefault="0077014F" w:rsidP="0077014F">
            <w:pPr>
              <w:spacing w:line="240" w:lineRule="auto"/>
              <w:rPr>
                <w:rFonts w:ascii="Calibri" w:hAnsi="Calibri"/>
                <w:b/>
                <w:bCs/>
                <w:sz w:val="22"/>
                <w:szCs w:val="22"/>
              </w:rPr>
            </w:pPr>
            <w:r w:rsidRPr="00781563">
              <w:rPr>
                <w:rFonts w:ascii="Calibri" w:hAnsi="Calibri"/>
                <w:b/>
                <w:bCs/>
                <w:sz w:val="22"/>
                <w:szCs w:val="22"/>
              </w:rPr>
              <w:t>Objem prostředků na platy a ostatní platby za provedenou práci celkem</w:t>
            </w:r>
          </w:p>
        </w:tc>
        <w:tc>
          <w:tcPr>
            <w:tcW w:w="1842" w:type="dxa"/>
            <w:tcBorders>
              <w:top w:val="single" w:sz="12" w:space="0" w:color="auto"/>
              <w:left w:val="nil"/>
              <w:bottom w:val="single" w:sz="8" w:space="0" w:color="auto"/>
              <w:right w:val="single" w:sz="12" w:space="0" w:color="auto"/>
            </w:tcBorders>
            <w:shd w:val="clear" w:color="auto" w:fill="auto"/>
            <w:vAlign w:val="center"/>
            <w:hideMark/>
          </w:tcPr>
          <w:p w14:paraId="513477B4" w14:textId="77777777" w:rsidR="0077014F" w:rsidRPr="00781563" w:rsidRDefault="0077014F" w:rsidP="003358AF">
            <w:pPr>
              <w:spacing w:line="240" w:lineRule="auto"/>
              <w:jc w:val="right"/>
              <w:rPr>
                <w:rFonts w:ascii="Calibri" w:hAnsi="Calibri"/>
                <w:b/>
                <w:bCs/>
                <w:sz w:val="22"/>
                <w:szCs w:val="22"/>
              </w:rPr>
            </w:pPr>
            <w:r w:rsidRPr="00781563">
              <w:rPr>
                <w:rFonts w:ascii="Calibri" w:hAnsi="Calibri"/>
                <w:b/>
                <w:bCs/>
                <w:sz w:val="22"/>
                <w:szCs w:val="22"/>
              </w:rPr>
              <w:t>13</w:t>
            </w:r>
            <w:r w:rsidR="003358AF" w:rsidRPr="00781563">
              <w:rPr>
                <w:rFonts w:ascii="Calibri" w:hAnsi="Calibri"/>
                <w:b/>
                <w:bCs/>
                <w:sz w:val="22"/>
                <w:szCs w:val="22"/>
              </w:rPr>
              <w:t>5</w:t>
            </w:r>
            <w:r w:rsidRPr="00781563">
              <w:rPr>
                <w:rFonts w:ascii="Calibri" w:hAnsi="Calibri"/>
                <w:b/>
                <w:bCs/>
                <w:sz w:val="22"/>
                <w:szCs w:val="22"/>
              </w:rPr>
              <w:t xml:space="preserve"> </w:t>
            </w:r>
            <w:r w:rsidR="003358AF" w:rsidRPr="00781563">
              <w:rPr>
                <w:rFonts w:ascii="Calibri" w:hAnsi="Calibri"/>
                <w:b/>
                <w:bCs/>
                <w:sz w:val="22"/>
                <w:szCs w:val="22"/>
              </w:rPr>
              <w:t>409</w:t>
            </w:r>
            <w:r w:rsidRPr="00781563">
              <w:rPr>
                <w:rFonts w:ascii="Calibri" w:hAnsi="Calibri"/>
                <w:b/>
                <w:bCs/>
                <w:sz w:val="22"/>
                <w:szCs w:val="22"/>
              </w:rPr>
              <w:t xml:space="preserve"> </w:t>
            </w:r>
            <w:r w:rsidR="003358AF" w:rsidRPr="00781563">
              <w:rPr>
                <w:rFonts w:ascii="Calibri" w:hAnsi="Calibri"/>
                <w:b/>
                <w:bCs/>
                <w:sz w:val="22"/>
                <w:szCs w:val="22"/>
              </w:rPr>
              <w:t>570</w:t>
            </w:r>
          </w:p>
        </w:tc>
      </w:tr>
      <w:tr w:rsidR="00781563" w:rsidRPr="00781563" w14:paraId="513477B9" w14:textId="77777777" w:rsidTr="0077014F">
        <w:trPr>
          <w:trHeight w:val="300"/>
        </w:trPr>
        <w:tc>
          <w:tcPr>
            <w:tcW w:w="740" w:type="dxa"/>
            <w:vMerge w:val="restart"/>
            <w:tcBorders>
              <w:top w:val="nil"/>
              <w:left w:val="single" w:sz="12" w:space="0" w:color="auto"/>
              <w:bottom w:val="single" w:sz="8" w:space="0" w:color="000000"/>
              <w:right w:val="single" w:sz="8" w:space="0" w:color="auto"/>
            </w:tcBorders>
            <w:shd w:val="clear" w:color="auto" w:fill="auto"/>
            <w:vAlign w:val="center"/>
            <w:hideMark/>
          </w:tcPr>
          <w:p w14:paraId="513477B6" w14:textId="77777777" w:rsidR="0077014F" w:rsidRPr="00781563" w:rsidRDefault="0077014F" w:rsidP="0077014F">
            <w:pPr>
              <w:spacing w:line="240" w:lineRule="auto"/>
              <w:rPr>
                <w:rFonts w:ascii="Calibri" w:hAnsi="Calibri"/>
                <w:sz w:val="22"/>
                <w:szCs w:val="22"/>
              </w:rPr>
            </w:pPr>
            <w:r w:rsidRPr="00781563">
              <w:rPr>
                <w:rFonts w:ascii="Calibri" w:hAnsi="Calibri"/>
                <w:sz w:val="22"/>
                <w:szCs w:val="22"/>
              </w:rPr>
              <w:t>z toho</w:t>
            </w:r>
          </w:p>
        </w:tc>
        <w:tc>
          <w:tcPr>
            <w:tcW w:w="6505" w:type="dxa"/>
            <w:tcBorders>
              <w:top w:val="nil"/>
              <w:left w:val="nil"/>
              <w:bottom w:val="single" w:sz="8" w:space="0" w:color="auto"/>
              <w:right w:val="single" w:sz="8" w:space="0" w:color="auto"/>
            </w:tcBorders>
            <w:shd w:val="clear" w:color="auto" w:fill="auto"/>
            <w:vAlign w:val="center"/>
            <w:hideMark/>
          </w:tcPr>
          <w:p w14:paraId="513477B7" w14:textId="77777777" w:rsidR="0077014F" w:rsidRPr="00781563" w:rsidRDefault="0077014F" w:rsidP="0077014F">
            <w:pPr>
              <w:spacing w:line="240" w:lineRule="auto"/>
              <w:rPr>
                <w:rFonts w:ascii="Calibri" w:hAnsi="Calibri"/>
                <w:sz w:val="22"/>
                <w:szCs w:val="22"/>
              </w:rPr>
            </w:pPr>
            <w:r w:rsidRPr="00781563">
              <w:rPr>
                <w:rFonts w:ascii="Calibri" w:hAnsi="Calibri"/>
                <w:sz w:val="22"/>
                <w:szCs w:val="22"/>
              </w:rPr>
              <w:t>Ostatní platby za provedenou práci</w:t>
            </w:r>
          </w:p>
        </w:tc>
        <w:tc>
          <w:tcPr>
            <w:tcW w:w="1842" w:type="dxa"/>
            <w:tcBorders>
              <w:top w:val="nil"/>
              <w:left w:val="nil"/>
              <w:bottom w:val="single" w:sz="8" w:space="0" w:color="auto"/>
              <w:right w:val="single" w:sz="12" w:space="0" w:color="auto"/>
            </w:tcBorders>
            <w:shd w:val="clear" w:color="auto" w:fill="auto"/>
            <w:vAlign w:val="center"/>
            <w:hideMark/>
          </w:tcPr>
          <w:p w14:paraId="513477B8" w14:textId="77777777" w:rsidR="0077014F" w:rsidRPr="00781563" w:rsidRDefault="0077014F" w:rsidP="0077014F">
            <w:pPr>
              <w:spacing w:line="240" w:lineRule="auto"/>
              <w:jc w:val="right"/>
              <w:rPr>
                <w:rFonts w:ascii="Calibri" w:hAnsi="Calibri"/>
                <w:sz w:val="22"/>
                <w:szCs w:val="22"/>
              </w:rPr>
            </w:pPr>
            <w:r w:rsidRPr="00781563">
              <w:rPr>
                <w:rFonts w:ascii="Calibri" w:hAnsi="Calibri"/>
                <w:sz w:val="22"/>
                <w:szCs w:val="22"/>
              </w:rPr>
              <w:t>9 051 419</w:t>
            </w:r>
          </w:p>
        </w:tc>
      </w:tr>
      <w:tr w:rsidR="00781563" w:rsidRPr="00781563" w14:paraId="513477BD" w14:textId="77777777" w:rsidTr="0077014F">
        <w:trPr>
          <w:trHeight w:val="300"/>
        </w:trPr>
        <w:tc>
          <w:tcPr>
            <w:tcW w:w="740" w:type="dxa"/>
            <w:vMerge/>
            <w:tcBorders>
              <w:top w:val="nil"/>
              <w:left w:val="single" w:sz="12" w:space="0" w:color="auto"/>
              <w:bottom w:val="single" w:sz="8" w:space="0" w:color="000000"/>
              <w:right w:val="single" w:sz="8" w:space="0" w:color="auto"/>
            </w:tcBorders>
            <w:vAlign w:val="center"/>
            <w:hideMark/>
          </w:tcPr>
          <w:p w14:paraId="513477BA" w14:textId="77777777" w:rsidR="0077014F" w:rsidRPr="00781563" w:rsidRDefault="0077014F" w:rsidP="0077014F">
            <w:pPr>
              <w:spacing w:line="240" w:lineRule="auto"/>
              <w:jc w:val="left"/>
              <w:rPr>
                <w:rFonts w:ascii="Calibri" w:hAnsi="Calibri"/>
                <w:sz w:val="22"/>
                <w:szCs w:val="22"/>
              </w:rPr>
            </w:pPr>
          </w:p>
        </w:tc>
        <w:tc>
          <w:tcPr>
            <w:tcW w:w="6505" w:type="dxa"/>
            <w:tcBorders>
              <w:top w:val="nil"/>
              <w:left w:val="nil"/>
              <w:bottom w:val="single" w:sz="8" w:space="0" w:color="auto"/>
              <w:right w:val="single" w:sz="8" w:space="0" w:color="auto"/>
            </w:tcBorders>
            <w:shd w:val="clear" w:color="auto" w:fill="auto"/>
            <w:vAlign w:val="center"/>
            <w:hideMark/>
          </w:tcPr>
          <w:p w14:paraId="513477BB" w14:textId="77777777" w:rsidR="0077014F" w:rsidRPr="00781563" w:rsidRDefault="0077014F" w:rsidP="00781563">
            <w:pPr>
              <w:spacing w:line="240" w:lineRule="auto"/>
              <w:rPr>
                <w:rFonts w:ascii="Calibri" w:hAnsi="Calibri"/>
                <w:sz w:val="22"/>
                <w:szCs w:val="22"/>
              </w:rPr>
            </w:pPr>
            <w:r w:rsidRPr="00781563">
              <w:rPr>
                <w:rFonts w:ascii="Calibri" w:hAnsi="Calibri"/>
                <w:sz w:val="22"/>
                <w:szCs w:val="22"/>
              </w:rPr>
              <w:t>Platy zaměstnanců v pracovním poměru</w:t>
            </w:r>
            <w:r w:rsidR="00090A1D" w:rsidRPr="00781563">
              <w:rPr>
                <w:rFonts w:ascii="Calibri" w:hAnsi="Calibri"/>
                <w:sz w:val="22"/>
                <w:szCs w:val="22"/>
              </w:rPr>
              <w:t xml:space="preserve"> vyjma zaměstnanců na</w:t>
            </w:r>
            <w:r w:rsidR="00781563">
              <w:rPr>
                <w:rFonts w:ascii="Calibri" w:hAnsi="Calibri"/>
                <w:sz w:val="22"/>
                <w:szCs w:val="22"/>
              </w:rPr>
              <w:t> </w:t>
            </w:r>
            <w:r w:rsidR="00090A1D" w:rsidRPr="00781563">
              <w:rPr>
                <w:rFonts w:ascii="Calibri" w:hAnsi="Calibri"/>
                <w:sz w:val="22"/>
                <w:szCs w:val="22"/>
              </w:rPr>
              <w:t>služebních místech</w:t>
            </w:r>
          </w:p>
        </w:tc>
        <w:tc>
          <w:tcPr>
            <w:tcW w:w="1842" w:type="dxa"/>
            <w:tcBorders>
              <w:top w:val="nil"/>
              <w:left w:val="nil"/>
              <w:bottom w:val="single" w:sz="8" w:space="0" w:color="auto"/>
              <w:right w:val="single" w:sz="12" w:space="0" w:color="auto"/>
            </w:tcBorders>
            <w:shd w:val="clear" w:color="auto" w:fill="auto"/>
            <w:vAlign w:val="center"/>
            <w:hideMark/>
          </w:tcPr>
          <w:p w14:paraId="513477BC" w14:textId="77777777" w:rsidR="0077014F" w:rsidRPr="00653321" w:rsidRDefault="0077014F" w:rsidP="00653321">
            <w:pPr>
              <w:spacing w:line="240" w:lineRule="auto"/>
              <w:jc w:val="right"/>
              <w:rPr>
                <w:rFonts w:ascii="Calibri" w:hAnsi="Calibri"/>
                <w:sz w:val="22"/>
                <w:szCs w:val="22"/>
              </w:rPr>
            </w:pPr>
            <w:r w:rsidRPr="00653321">
              <w:rPr>
                <w:rFonts w:ascii="Calibri" w:hAnsi="Calibri"/>
                <w:sz w:val="22"/>
                <w:szCs w:val="22"/>
              </w:rPr>
              <w:t>2</w:t>
            </w:r>
            <w:r w:rsidR="00653321" w:rsidRPr="00653321">
              <w:rPr>
                <w:rFonts w:ascii="Calibri" w:hAnsi="Calibri"/>
                <w:sz w:val="22"/>
                <w:szCs w:val="22"/>
              </w:rPr>
              <w:t>3</w:t>
            </w:r>
            <w:r w:rsidR="003358AF" w:rsidRPr="00653321">
              <w:rPr>
                <w:rFonts w:ascii="Calibri" w:hAnsi="Calibri"/>
                <w:sz w:val="22"/>
                <w:szCs w:val="22"/>
              </w:rPr>
              <w:t> </w:t>
            </w:r>
            <w:r w:rsidR="00653321" w:rsidRPr="00653321">
              <w:rPr>
                <w:rFonts w:ascii="Calibri" w:hAnsi="Calibri"/>
                <w:sz w:val="22"/>
                <w:szCs w:val="22"/>
              </w:rPr>
              <w:t>739</w:t>
            </w:r>
            <w:r w:rsidR="003358AF" w:rsidRPr="00653321">
              <w:rPr>
                <w:rFonts w:ascii="Calibri" w:hAnsi="Calibri"/>
                <w:sz w:val="22"/>
                <w:szCs w:val="22"/>
              </w:rPr>
              <w:t xml:space="preserve"> 974</w:t>
            </w:r>
          </w:p>
        </w:tc>
      </w:tr>
      <w:tr w:rsidR="00781563" w:rsidRPr="00781563" w14:paraId="513477C1" w14:textId="77777777" w:rsidTr="0077014F">
        <w:trPr>
          <w:trHeight w:val="300"/>
        </w:trPr>
        <w:tc>
          <w:tcPr>
            <w:tcW w:w="740" w:type="dxa"/>
            <w:vMerge/>
            <w:tcBorders>
              <w:top w:val="nil"/>
              <w:left w:val="single" w:sz="12" w:space="0" w:color="auto"/>
              <w:bottom w:val="single" w:sz="8" w:space="0" w:color="000000"/>
              <w:right w:val="single" w:sz="8" w:space="0" w:color="auto"/>
            </w:tcBorders>
            <w:vAlign w:val="center"/>
            <w:hideMark/>
          </w:tcPr>
          <w:p w14:paraId="513477BE" w14:textId="77777777" w:rsidR="0077014F" w:rsidRPr="00781563" w:rsidRDefault="0077014F" w:rsidP="0077014F">
            <w:pPr>
              <w:spacing w:line="240" w:lineRule="auto"/>
              <w:jc w:val="left"/>
              <w:rPr>
                <w:rFonts w:ascii="Calibri" w:hAnsi="Calibri"/>
                <w:sz w:val="22"/>
                <w:szCs w:val="22"/>
              </w:rPr>
            </w:pPr>
          </w:p>
        </w:tc>
        <w:tc>
          <w:tcPr>
            <w:tcW w:w="6505" w:type="dxa"/>
            <w:tcBorders>
              <w:top w:val="nil"/>
              <w:left w:val="nil"/>
              <w:bottom w:val="single" w:sz="8" w:space="0" w:color="auto"/>
              <w:right w:val="single" w:sz="8" w:space="0" w:color="auto"/>
            </w:tcBorders>
            <w:shd w:val="clear" w:color="auto" w:fill="auto"/>
            <w:vAlign w:val="center"/>
            <w:hideMark/>
          </w:tcPr>
          <w:p w14:paraId="513477BF" w14:textId="77777777" w:rsidR="0077014F" w:rsidRPr="00781563" w:rsidRDefault="0077014F" w:rsidP="00090A1D">
            <w:pPr>
              <w:spacing w:line="240" w:lineRule="auto"/>
              <w:rPr>
                <w:rFonts w:ascii="Calibri" w:hAnsi="Calibri"/>
                <w:sz w:val="22"/>
                <w:szCs w:val="22"/>
              </w:rPr>
            </w:pPr>
            <w:r w:rsidRPr="00781563">
              <w:rPr>
                <w:rFonts w:ascii="Calibri" w:hAnsi="Calibri"/>
                <w:sz w:val="22"/>
                <w:szCs w:val="22"/>
              </w:rPr>
              <w:t>Platy zaměstnanců</w:t>
            </w:r>
            <w:r w:rsidR="00090A1D" w:rsidRPr="00781563">
              <w:rPr>
                <w:rFonts w:ascii="Calibri" w:hAnsi="Calibri"/>
                <w:sz w:val="22"/>
                <w:szCs w:val="22"/>
              </w:rPr>
              <w:t xml:space="preserve"> na služebních místech dle zákona o státní službě</w:t>
            </w:r>
            <w:r w:rsidRPr="00781563">
              <w:rPr>
                <w:rFonts w:ascii="Calibri" w:hAnsi="Calibri"/>
                <w:sz w:val="22"/>
                <w:szCs w:val="22"/>
              </w:rPr>
              <w:t xml:space="preserve"> </w:t>
            </w:r>
          </w:p>
        </w:tc>
        <w:tc>
          <w:tcPr>
            <w:tcW w:w="1842" w:type="dxa"/>
            <w:tcBorders>
              <w:top w:val="nil"/>
              <w:left w:val="nil"/>
              <w:bottom w:val="single" w:sz="8" w:space="0" w:color="auto"/>
              <w:right w:val="single" w:sz="12" w:space="0" w:color="auto"/>
            </w:tcBorders>
            <w:shd w:val="clear" w:color="auto" w:fill="auto"/>
            <w:vAlign w:val="center"/>
            <w:hideMark/>
          </w:tcPr>
          <w:p w14:paraId="513477C0" w14:textId="77777777" w:rsidR="0077014F" w:rsidRPr="00653321" w:rsidRDefault="0077014F" w:rsidP="00653321">
            <w:pPr>
              <w:spacing w:line="240" w:lineRule="auto"/>
              <w:jc w:val="right"/>
              <w:rPr>
                <w:rFonts w:ascii="Calibri" w:hAnsi="Calibri"/>
                <w:sz w:val="22"/>
                <w:szCs w:val="22"/>
              </w:rPr>
            </w:pPr>
            <w:r w:rsidRPr="00653321">
              <w:rPr>
                <w:rFonts w:ascii="Calibri" w:hAnsi="Calibri"/>
                <w:sz w:val="22"/>
                <w:szCs w:val="22"/>
              </w:rPr>
              <w:t>10</w:t>
            </w:r>
            <w:r w:rsidR="00653321" w:rsidRPr="00653321">
              <w:rPr>
                <w:rFonts w:ascii="Calibri" w:hAnsi="Calibri"/>
                <w:sz w:val="22"/>
                <w:szCs w:val="22"/>
              </w:rPr>
              <w:t>2</w:t>
            </w:r>
            <w:r w:rsidRPr="00653321">
              <w:rPr>
                <w:rFonts w:ascii="Calibri" w:hAnsi="Calibri"/>
                <w:sz w:val="22"/>
                <w:szCs w:val="22"/>
              </w:rPr>
              <w:t xml:space="preserve"> </w:t>
            </w:r>
            <w:r w:rsidR="00653321" w:rsidRPr="00653321">
              <w:rPr>
                <w:rFonts w:ascii="Calibri" w:hAnsi="Calibri"/>
                <w:sz w:val="22"/>
                <w:szCs w:val="22"/>
              </w:rPr>
              <w:t>618</w:t>
            </w:r>
            <w:r w:rsidRPr="00653321">
              <w:rPr>
                <w:rFonts w:ascii="Calibri" w:hAnsi="Calibri"/>
                <w:sz w:val="22"/>
                <w:szCs w:val="22"/>
              </w:rPr>
              <w:t xml:space="preserve"> </w:t>
            </w:r>
            <w:r w:rsidR="003358AF" w:rsidRPr="00653321">
              <w:rPr>
                <w:rFonts w:ascii="Calibri" w:hAnsi="Calibri"/>
                <w:sz w:val="22"/>
                <w:szCs w:val="22"/>
              </w:rPr>
              <w:t>177</w:t>
            </w:r>
          </w:p>
        </w:tc>
      </w:tr>
      <w:tr w:rsidR="00781563" w:rsidRPr="00781563" w14:paraId="513477C4" w14:textId="77777777" w:rsidTr="0077014F">
        <w:trPr>
          <w:trHeight w:val="300"/>
        </w:trPr>
        <w:tc>
          <w:tcPr>
            <w:tcW w:w="7245" w:type="dxa"/>
            <w:gridSpan w:val="2"/>
            <w:tcBorders>
              <w:top w:val="single" w:sz="8" w:space="0" w:color="auto"/>
              <w:left w:val="single" w:sz="12" w:space="0" w:color="auto"/>
              <w:bottom w:val="single" w:sz="8" w:space="0" w:color="auto"/>
              <w:right w:val="single" w:sz="8" w:space="0" w:color="000000"/>
            </w:tcBorders>
            <w:shd w:val="clear" w:color="auto" w:fill="auto"/>
            <w:vAlign w:val="center"/>
            <w:hideMark/>
          </w:tcPr>
          <w:p w14:paraId="513477C2" w14:textId="77777777" w:rsidR="0077014F" w:rsidRPr="00781563" w:rsidRDefault="0077014F" w:rsidP="0077014F">
            <w:pPr>
              <w:spacing w:line="240" w:lineRule="auto"/>
              <w:rPr>
                <w:rFonts w:ascii="Calibri" w:hAnsi="Calibri"/>
                <w:sz w:val="22"/>
                <w:szCs w:val="22"/>
              </w:rPr>
            </w:pPr>
            <w:r w:rsidRPr="00781563">
              <w:rPr>
                <w:rFonts w:ascii="Calibri" w:hAnsi="Calibri"/>
                <w:sz w:val="22"/>
                <w:szCs w:val="22"/>
              </w:rPr>
              <w:t>Počet zaměstnanců</w:t>
            </w:r>
            <w:r w:rsidR="00090A1D" w:rsidRPr="00781563">
              <w:rPr>
                <w:rFonts w:ascii="Calibri" w:hAnsi="Calibri"/>
                <w:sz w:val="22"/>
                <w:szCs w:val="22"/>
              </w:rPr>
              <w:t xml:space="preserve"> v pracovním poměru vyjma zaměstnanců na služebních místech</w:t>
            </w:r>
          </w:p>
        </w:tc>
        <w:tc>
          <w:tcPr>
            <w:tcW w:w="1842" w:type="dxa"/>
            <w:tcBorders>
              <w:top w:val="nil"/>
              <w:left w:val="nil"/>
              <w:bottom w:val="single" w:sz="8" w:space="0" w:color="auto"/>
              <w:right w:val="single" w:sz="12" w:space="0" w:color="auto"/>
            </w:tcBorders>
            <w:shd w:val="clear" w:color="auto" w:fill="auto"/>
            <w:vAlign w:val="center"/>
            <w:hideMark/>
          </w:tcPr>
          <w:p w14:paraId="513477C3" w14:textId="77777777" w:rsidR="0077014F" w:rsidRPr="00653321" w:rsidRDefault="0077014F" w:rsidP="00653321">
            <w:pPr>
              <w:spacing w:line="240" w:lineRule="auto"/>
              <w:jc w:val="right"/>
              <w:rPr>
                <w:rFonts w:ascii="Calibri" w:hAnsi="Calibri"/>
                <w:sz w:val="22"/>
                <w:szCs w:val="22"/>
              </w:rPr>
            </w:pPr>
            <w:r w:rsidRPr="00653321">
              <w:rPr>
                <w:rFonts w:ascii="Calibri" w:hAnsi="Calibri"/>
                <w:sz w:val="22"/>
                <w:szCs w:val="22"/>
              </w:rPr>
              <w:t>5</w:t>
            </w:r>
            <w:r w:rsidR="00653321" w:rsidRPr="00653321">
              <w:rPr>
                <w:rFonts w:ascii="Calibri" w:hAnsi="Calibri"/>
                <w:sz w:val="22"/>
                <w:szCs w:val="22"/>
              </w:rPr>
              <w:t>4</w:t>
            </w:r>
          </w:p>
        </w:tc>
      </w:tr>
      <w:tr w:rsidR="00781563" w:rsidRPr="00781563" w14:paraId="513477C7" w14:textId="77777777" w:rsidTr="0077014F">
        <w:trPr>
          <w:trHeight w:val="300"/>
        </w:trPr>
        <w:tc>
          <w:tcPr>
            <w:tcW w:w="7245" w:type="dxa"/>
            <w:gridSpan w:val="2"/>
            <w:tcBorders>
              <w:top w:val="single" w:sz="8" w:space="0" w:color="auto"/>
              <w:left w:val="single" w:sz="12" w:space="0" w:color="auto"/>
              <w:bottom w:val="single" w:sz="12" w:space="0" w:color="auto"/>
              <w:right w:val="single" w:sz="8" w:space="0" w:color="000000"/>
            </w:tcBorders>
            <w:shd w:val="clear" w:color="auto" w:fill="auto"/>
            <w:noWrap/>
            <w:vAlign w:val="bottom"/>
            <w:hideMark/>
          </w:tcPr>
          <w:p w14:paraId="513477C5" w14:textId="77777777" w:rsidR="0077014F" w:rsidRPr="00781563" w:rsidRDefault="0077014F" w:rsidP="00090A1D">
            <w:pPr>
              <w:spacing w:line="240" w:lineRule="auto"/>
              <w:jc w:val="left"/>
              <w:rPr>
                <w:rFonts w:ascii="Calibri" w:hAnsi="Calibri"/>
                <w:sz w:val="22"/>
                <w:szCs w:val="22"/>
              </w:rPr>
            </w:pPr>
            <w:r w:rsidRPr="00781563">
              <w:rPr>
                <w:rFonts w:ascii="Calibri" w:hAnsi="Calibri"/>
                <w:sz w:val="22"/>
                <w:szCs w:val="22"/>
              </w:rPr>
              <w:t>Počet zaměstnanců</w:t>
            </w:r>
            <w:r w:rsidR="00090A1D" w:rsidRPr="00781563">
              <w:rPr>
                <w:rFonts w:ascii="Calibri" w:hAnsi="Calibri"/>
                <w:sz w:val="22"/>
                <w:szCs w:val="22"/>
              </w:rPr>
              <w:t xml:space="preserve"> na služebních místech dle zákona o státní službě</w:t>
            </w:r>
          </w:p>
        </w:tc>
        <w:tc>
          <w:tcPr>
            <w:tcW w:w="1842" w:type="dxa"/>
            <w:tcBorders>
              <w:top w:val="nil"/>
              <w:left w:val="nil"/>
              <w:bottom w:val="single" w:sz="12" w:space="0" w:color="auto"/>
              <w:right w:val="single" w:sz="12" w:space="0" w:color="auto"/>
            </w:tcBorders>
            <w:shd w:val="clear" w:color="auto" w:fill="auto"/>
            <w:noWrap/>
            <w:vAlign w:val="bottom"/>
            <w:hideMark/>
          </w:tcPr>
          <w:p w14:paraId="513477C6" w14:textId="77777777" w:rsidR="0077014F" w:rsidRPr="00653321" w:rsidRDefault="00653321" w:rsidP="0077014F">
            <w:pPr>
              <w:spacing w:line="240" w:lineRule="auto"/>
              <w:jc w:val="right"/>
              <w:rPr>
                <w:rFonts w:ascii="Calibri" w:hAnsi="Calibri"/>
                <w:sz w:val="22"/>
                <w:szCs w:val="22"/>
              </w:rPr>
            </w:pPr>
            <w:r w:rsidRPr="00653321">
              <w:rPr>
                <w:rFonts w:ascii="Calibri" w:hAnsi="Calibri"/>
                <w:sz w:val="22"/>
                <w:szCs w:val="22"/>
              </w:rPr>
              <w:t>216</w:t>
            </w:r>
          </w:p>
        </w:tc>
      </w:tr>
    </w:tbl>
    <w:p w14:paraId="513477C8" w14:textId="77777777" w:rsidR="00781563" w:rsidRPr="006C07AF" w:rsidRDefault="00781563" w:rsidP="003150D7">
      <w:pPr>
        <w:spacing w:before="120" w:line="240" w:lineRule="auto"/>
        <w:rPr>
          <w:rFonts w:ascii="Times New Roman" w:hAnsi="Times New Roman"/>
          <w:b/>
        </w:rPr>
      </w:pPr>
      <w:r w:rsidRPr="006C07AF">
        <w:rPr>
          <w:rFonts w:ascii="Times New Roman" w:hAnsi="Times New Roman"/>
        </w:rPr>
        <w:t xml:space="preserve">Příslušenství k platům dle platných zákonů je zařazeno na </w:t>
      </w:r>
      <w:r w:rsidR="00986A42" w:rsidRPr="006C07AF">
        <w:rPr>
          <w:rFonts w:ascii="Times New Roman" w:hAnsi="Times New Roman"/>
        </w:rPr>
        <w:t xml:space="preserve">rozpočtových </w:t>
      </w:r>
      <w:r w:rsidRPr="006C07AF">
        <w:rPr>
          <w:rFonts w:ascii="Times New Roman" w:hAnsi="Times New Roman"/>
        </w:rPr>
        <w:t xml:space="preserve">položkách </w:t>
      </w:r>
      <w:r w:rsidR="00986A42" w:rsidRPr="006C07AF">
        <w:rPr>
          <w:rFonts w:ascii="Times New Roman" w:hAnsi="Times New Roman"/>
        </w:rPr>
        <w:t>Povinné pojistné na sociální zabezpečení a příspěvek na státní politiku zaměstnanosti, Povinné pojistné na veřejné zdravotní pojištění a Převody fondu kulturních a sociálních potřeb </w:t>
      </w:r>
      <w:r w:rsidR="005938BB" w:rsidRPr="006C07AF">
        <w:rPr>
          <w:rFonts w:ascii="Times New Roman" w:hAnsi="Times New Roman"/>
        </w:rPr>
        <w:t xml:space="preserve"> v </w:t>
      </w:r>
      <w:r w:rsidR="00986A42" w:rsidRPr="006C07AF">
        <w:rPr>
          <w:rFonts w:ascii="Times New Roman" w:hAnsi="Times New Roman"/>
        </w:rPr>
        <w:t xml:space="preserve">souhrnné výši 47 674,525 tis. Kč. </w:t>
      </w:r>
    </w:p>
    <w:p w14:paraId="513477C9" w14:textId="77777777" w:rsidR="00217597" w:rsidRPr="00986A42" w:rsidRDefault="00217597" w:rsidP="00060EF8">
      <w:pPr>
        <w:spacing w:before="120" w:line="240" w:lineRule="auto"/>
        <w:rPr>
          <w:rFonts w:ascii="Times New Roman" w:hAnsi="Times New Roman"/>
          <w:b/>
        </w:rPr>
      </w:pPr>
      <w:r w:rsidRPr="00986A42">
        <w:rPr>
          <w:rFonts w:ascii="Times New Roman" w:hAnsi="Times New Roman"/>
          <w:b/>
        </w:rPr>
        <w:t>d) platby mezinárodní společnostem a dalším organizacím</w:t>
      </w:r>
      <w:r w:rsidR="00D27CB0" w:rsidRPr="00986A42">
        <w:rPr>
          <w:rFonts w:ascii="Times New Roman" w:hAnsi="Times New Roman"/>
          <w:b/>
        </w:rPr>
        <w:tab/>
      </w:r>
      <w:r w:rsidR="00D27CB0" w:rsidRPr="00986A42">
        <w:rPr>
          <w:rFonts w:ascii="Times New Roman" w:hAnsi="Times New Roman"/>
          <w:b/>
        </w:rPr>
        <w:tab/>
      </w:r>
      <w:r w:rsidR="00D27CB0" w:rsidRPr="00986A42">
        <w:rPr>
          <w:rFonts w:ascii="Times New Roman" w:hAnsi="Times New Roman"/>
        </w:rPr>
        <w:t>   </w:t>
      </w:r>
      <w:r w:rsidR="000A79F3" w:rsidRPr="00986A42">
        <w:rPr>
          <w:rFonts w:ascii="Times New Roman" w:hAnsi="Times New Roman"/>
        </w:rPr>
        <w:t>   </w:t>
      </w:r>
      <w:r w:rsidR="00D27CB0" w:rsidRPr="00986A42">
        <w:rPr>
          <w:rFonts w:ascii="Times New Roman" w:hAnsi="Times New Roman"/>
        </w:rPr>
        <w:t>  </w:t>
      </w:r>
      <w:r w:rsidR="00D27CB0" w:rsidRPr="00986A42">
        <w:rPr>
          <w:rFonts w:ascii="Times New Roman" w:hAnsi="Times New Roman"/>
          <w:b/>
        </w:rPr>
        <w:t>25 060</w:t>
      </w:r>
      <w:r w:rsidR="007E6540" w:rsidRPr="00986A42">
        <w:rPr>
          <w:rFonts w:ascii="Times New Roman" w:hAnsi="Times New Roman"/>
          <w:b/>
        </w:rPr>
        <w:t> </w:t>
      </w:r>
      <w:r w:rsidR="00D27CB0" w:rsidRPr="00986A42">
        <w:rPr>
          <w:rFonts w:ascii="Times New Roman" w:hAnsi="Times New Roman"/>
          <w:b/>
        </w:rPr>
        <w:t>500</w:t>
      </w:r>
      <w:r w:rsidR="007E6540" w:rsidRPr="00986A42">
        <w:rPr>
          <w:rFonts w:ascii="Times New Roman" w:hAnsi="Times New Roman"/>
          <w:b/>
        </w:rPr>
        <w:t> </w:t>
      </w:r>
      <w:r w:rsidR="00D27CB0" w:rsidRPr="00986A42">
        <w:rPr>
          <w:rFonts w:ascii="Times New Roman" w:hAnsi="Times New Roman"/>
          <w:b/>
        </w:rPr>
        <w:t>Kč</w:t>
      </w:r>
    </w:p>
    <w:p w14:paraId="513477CA" w14:textId="77777777" w:rsidR="006731FF" w:rsidRPr="00986A42" w:rsidRDefault="006731FF" w:rsidP="005F74C1">
      <w:pPr>
        <w:pStyle w:val="Zhlav"/>
        <w:spacing w:before="120"/>
        <w:rPr>
          <w:rFonts w:ascii="Times New Roman" w:hAnsi="Times New Roman"/>
          <w:b/>
          <w:i/>
          <w:u w:val="single"/>
        </w:rPr>
      </w:pPr>
      <w:r w:rsidRPr="00986A42">
        <w:rPr>
          <w:rFonts w:ascii="Times New Roman" w:hAnsi="Times New Roman"/>
        </w:rPr>
        <w:t>Ukazatel zahrnuje platby mezinárodním společnostem, program</w:t>
      </w:r>
      <w:r w:rsidR="00986A42" w:rsidRPr="00986A42">
        <w:rPr>
          <w:rFonts w:ascii="Times New Roman" w:hAnsi="Times New Roman"/>
        </w:rPr>
        <w:t>y</w:t>
      </w:r>
      <w:r w:rsidRPr="00986A42">
        <w:rPr>
          <w:rFonts w:ascii="Times New Roman" w:hAnsi="Times New Roman"/>
        </w:rPr>
        <w:t xml:space="preserve"> MEDIA Desk a Kreativní Evropa, Centrum pro dokumentaci majetkových převodů kulturních statků obětí 2. světové války a Nadační fond obětem holocaustu. </w:t>
      </w:r>
    </w:p>
    <w:p w14:paraId="513477CB" w14:textId="77777777" w:rsidR="006731FF" w:rsidRPr="00986A42" w:rsidRDefault="006731FF" w:rsidP="003150D7">
      <w:pPr>
        <w:spacing w:before="120" w:line="240" w:lineRule="auto"/>
        <w:rPr>
          <w:rFonts w:ascii="Times New Roman" w:hAnsi="Times New Roman"/>
          <w:u w:val="single"/>
        </w:rPr>
      </w:pPr>
      <w:r w:rsidRPr="00986A42">
        <w:rPr>
          <w:rFonts w:ascii="Times New Roman" w:hAnsi="Times New Roman"/>
          <w:u w:val="single"/>
        </w:rPr>
        <w:t>Platby mezinárodním společnostem</w:t>
      </w:r>
      <w:r w:rsidRPr="00986A42">
        <w:rPr>
          <w:rFonts w:ascii="Times New Roman" w:hAnsi="Times New Roman"/>
          <w:u w:val="single"/>
        </w:rPr>
        <w:tab/>
      </w:r>
      <w:r w:rsidRPr="00986A42">
        <w:rPr>
          <w:rFonts w:ascii="Times New Roman" w:hAnsi="Times New Roman"/>
          <w:u w:val="single"/>
        </w:rPr>
        <w:tab/>
      </w:r>
      <w:r w:rsidRPr="00986A42">
        <w:rPr>
          <w:rFonts w:ascii="Times New Roman" w:hAnsi="Times New Roman"/>
          <w:u w:val="single"/>
        </w:rPr>
        <w:tab/>
      </w:r>
      <w:r w:rsidRPr="00986A42">
        <w:rPr>
          <w:rFonts w:ascii="Times New Roman" w:hAnsi="Times New Roman"/>
          <w:u w:val="single"/>
        </w:rPr>
        <w:tab/>
      </w:r>
      <w:r w:rsidRPr="00986A42">
        <w:rPr>
          <w:rFonts w:ascii="Times New Roman" w:hAnsi="Times New Roman"/>
          <w:u w:val="single"/>
        </w:rPr>
        <w:tab/>
      </w:r>
      <w:r w:rsidR="005F0BD0" w:rsidRPr="00986A42">
        <w:rPr>
          <w:rFonts w:ascii="Times New Roman" w:hAnsi="Times New Roman"/>
          <w:u w:val="single"/>
        </w:rPr>
        <w:tab/>
      </w:r>
      <w:r w:rsidR="00310E28" w:rsidRPr="00986A42">
        <w:rPr>
          <w:rFonts w:ascii="Times New Roman" w:hAnsi="Times New Roman"/>
          <w:u w:val="single"/>
        </w:rPr>
        <w:t>   </w:t>
      </w:r>
      <w:r w:rsidRPr="00986A42">
        <w:rPr>
          <w:rFonts w:ascii="Times New Roman" w:hAnsi="Times New Roman"/>
          <w:u w:val="single"/>
        </w:rPr>
        <w:t>     </w:t>
      </w:r>
      <w:r w:rsidR="005F0BD0" w:rsidRPr="00986A42">
        <w:rPr>
          <w:rFonts w:ascii="Times New Roman" w:hAnsi="Times New Roman"/>
          <w:u w:val="single"/>
        </w:rPr>
        <w:t>10</w:t>
      </w:r>
      <w:r w:rsidR="007E6540" w:rsidRPr="00986A42">
        <w:rPr>
          <w:rFonts w:ascii="Times New Roman" w:hAnsi="Times New Roman"/>
          <w:u w:val="single"/>
        </w:rPr>
        <w:t> </w:t>
      </w:r>
      <w:r w:rsidR="005F0BD0" w:rsidRPr="00986A42">
        <w:rPr>
          <w:rFonts w:ascii="Times New Roman" w:hAnsi="Times New Roman"/>
          <w:u w:val="single"/>
        </w:rPr>
        <w:t>125</w:t>
      </w:r>
      <w:r w:rsidR="007E6540" w:rsidRPr="00986A42">
        <w:rPr>
          <w:rFonts w:ascii="Times New Roman" w:hAnsi="Times New Roman"/>
          <w:u w:val="single"/>
        </w:rPr>
        <w:t> </w:t>
      </w:r>
      <w:r w:rsidR="005F0BD0" w:rsidRPr="00986A42">
        <w:rPr>
          <w:rFonts w:ascii="Times New Roman" w:hAnsi="Times New Roman"/>
          <w:u w:val="single"/>
        </w:rPr>
        <w:t>5</w:t>
      </w:r>
      <w:r w:rsidR="00D27CB0" w:rsidRPr="00986A42">
        <w:rPr>
          <w:rFonts w:ascii="Times New Roman" w:hAnsi="Times New Roman"/>
          <w:u w:val="single"/>
        </w:rPr>
        <w:t>00</w:t>
      </w:r>
      <w:r w:rsidRPr="00986A42">
        <w:rPr>
          <w:rFonts w:ascii="Times New Roman" w:hAnsi="Times New Roman"/>
          <w:u w:val="single"/>
        </w:rPr>
        <w:t> Kč</w:t>
      </w:r>
    </w:p>
    <w:p w14:paraId="513477CC" w14:textId="77777777" w:rsidR="006731FF" w:rsidRPr="00986A42" w:rsidRDefault="006731FF" w:rsidP="005F74C1">
      <w:pPr>
        <w:pStyle w:val="Zhlav"/>
        <w:spacing w:before="120"/>
        <w:rPr>
          <w:rFonts w:ascii="Times New Roman" w:hAnsi="Times New Roman"/>
        </w:rPr>
      </w:pPr>
      <w:r w:rsidRPr="00986A42">
        <w:rPr>
          <w:rFonts w:ascii="Times New Roman" w:hAnsi="Times New Roman"/>
        </w:rPr>
        <w:t>Zahrnují příspěvky mezinárodním organizacím fond EURIMAGES (dle usnesení vlády</w:t>
      </w:r>
      <w:r w:rsidR="00986A42">
        <w:rPr>
          <w:rFonts w:ascii="Times New Roman" w:hAnsi="Times New Roman"/>
        </w:rPr>
        <w:t xml:space="preserve"> </w:t>
      </w:r>
      <w:r w:rsidRPr="00986A42">
        <w:rPr>
          <w:rFonts w:ascii="Times New Roman" w:hAnsi="Times New Roman"/>
        </w:rPr>
        <w:t>č.</w:t>
      </w:r>
      <w:r w:rsidR="00986A42">
        <w:rPr>
          <w:rFonts w:ascii="Times New Roman" w:hAnsi="Times New Roman"/>
        </w:rPr>
        <w:t> </w:t>
      </w:r>
      <w:r w:rsidRPr="00986A42">
        <w:rPr>
          <w:rFonts w:ascii="Times New Roman" w:hAnsi="Times New Roman"/>
        </w:rPr>
        <w:t>190/1993 o souhlasu se vstupem ČR do mezinárodního fondu EURIMAGES)</w:t>
      </w:r>
      <w:r w:rsidR="00986A42">
        <w:rPr>
          <w:rFonts w:ascii="Times New Roman" w:hAnsi="Times New Roman"/>
        </w:rPr>
        <w:t xml:space="preserve"> </w:t>
      </w:r>
      <w:r w:rsidRPr="00986A42">
        <w:rPr>
          <w:rFonts w:ascii="Times New Roman" w:hAnsi="Times New Roman"/>
        </w:rPr>
        <w:t>a</w:t>
      </w:r>
      <w:r w:rsidR="00986A42">
        <w:rPr>
          <w:rFonts w:ascii="Times New Roman" w:hAnsi="Times New Roman"/>
        </w:rPr>
        <w:t> </w:t>
      </w:r>
      <w:r w:rsidRPr="00986A42">
        <w:rPr>
          <w:rFonts w:ascii="Times New Roman" w:hAnsi="Times New Roman"/>
        </w:rPr>
        <w:t>Ev</w:t>
      </w:r>
      <w:r w:rsidR="00986A42">
        <w:rPr>
          <w:rFonts w:ascii="Times New Roman" w:hAnsi="Times New Roman"/>
        </w:rPr>
        <w:t>ropská audiovizuální observatoř</w:t>
      </w:r>
      <w:r w:rsidR="0018766E">
        <w:rPr>
          <w:rFonts w:ascii="Times New Roman" w:hAnsi="Times New Roman"/>
        </w:rPr>
        <w:t xml:space="preserve"> ve výši 9 10</w:t>
      </w:r>
      <w:r w:rsidR="00310E28">
        <w:rPr>
          <w:rFonts w:ascii="Times New Roman" w:hAnsi="Times New Roman"/>
        </w:rPr>
        <w:t>1</w:t>
      </w:r>
      <w:r w:rsidR="0018766E">
        <w:rPr>
          <w:rFonts w:ascii="Times New Roman" w:hAnsi="Times New Roman"/>
        </w:rPr>
        <w:t xml:space="preserve"> tis. Kč</w:t>
      </w:r>
      <w:r w:rsidRPr="00986A42">
        <w:rPr>
          <w:rFonts w:ascii="Times New Roman" w:hAnsi="Times New Roman"/>
        </w:rPr>
        <w:t>. Nárůst příspěvku do fondu EURIMAGES je dán úspěšností českých projektů, které byly</w:t>
      </w:r>
      <w:r w:rsidR="00BF1F13" w:rsidRPr="00986A42">
        <w:rPr>
          <w:rFonts w:ascii="Times New Roman" w:hAnsi="Times New Roman"/>
        </w:rPr>
        <w:t xml:space="preserve"> v minulosti</w:t>
      </w:r>
      <w:r w:rsidRPr="00986A42">
        <w:rPr>
          <w:rFonts w:ascii="Times New Roman" w:hAnsi="Times New Roman"/>
        </w:rPr>
        <w:t xml:space="preserve"> podpořeny z fondu EURIMAGES</w:t>
      </w:r>
      <w:r w:rsidR="00BF1F13" w:rsidRPr="00986A42">
        <w:rPr>
          <w:rFonts w:ascii="Times New Roman" w:hAnsi="Times New Roman"/>
        </w:rPr>
        <w:t>.</w:t>
      </w:r>
      <w:r w:rsidRPr="00986A42">
        <w:rPr>
          <w:rFonts w:ascii="Times New Roman" w:hAnsi="Times New Roman"/>
        </w:rPr>
        <w:t xml:space="preserve"> Mezinárodní poplatky organizaci ICCROM ve výši </w:t>
      </w:r>
      <w:r w:rsidR="00A8190B" w:rsidRPr="00986A42">
        <w:rPr>
          <w:rFonts w:ascii="Times New Roman" w:hAnsi="Times New Roman"/>
        </w:rPr>
        <w:t>470</w:t>
      </w:r>
      <w:r w:rsidRPr="00986A42">
        <w:rPr>
          <w:rFonts w:ascii="Times New Roman" w:hAnsi="Times New Roman"/>
        </w:rPr>
        <w:t xml:space="preserve"> tis. Kč jsou od roku 2014 trvalou součástí rozpočtu kapitoly 334 Ministerstvo kultury</w:t>
      </w:r>
      <w:r w:rsidR="006C07AF">
        <w:rPr>
          <w:rFonts w:ascii="Times New Roman" w:hAnsi="Times New Roman"/>
        </w:rPr>
        <w:t>.</w:t>
      </w:r>
      <w:r w:rsidR="00310E28">
        <w:rPr>
          <w:rFonts w:ascii="Times New Roman" w:hAnsi="Times New Roman"/>
        </w:rPr>
        <w:t xml:space="preserve"> Zbývající prostředky jsou určeny na</w:t>
      </w:r>
      <w:r w:rsidR="003E6D51">
        <w:rPr>
          <w:rFonts w:ascii="Times New Roman" w:hAnsi="Times New Roman"/>
        </w:rPr>
        <w:t xml:space="preserve"> dorovnání </w:t>
      </w:r>
      <w:r w:rsidR="00310E28">
        <w:rPr>
          <w:rFonts w:ascii="Times New Roman" w:hAnsi="Times New Roman"/>
        </w:rPr>
        <w:t>kurzov</w:t>
      </w:r>
      <w:r w:rsidR="003E6D51">
        <w:rPr>
          <w:rFonts w:ascii="Times New Roman" w:hAnsi="Times New Roman"/>
        </w:rPr>
        <w:t xml:space="preserve">ých </w:t>
      </w:r>
      <w:r w:rsidR="00310E28">
        <w:rPr>
          <w:rFonts w:ascii="Times New Roman" w:hAnsi="Times New Roman"/>
        </w:rPr>
        <w:t>rozdíl</w:t>
      </w:r>
      <w:r w:rsidR="003E6D51">
        <w:rPr>
          <w:rFonts w:ascii="Times New Roman" w:hAnsi="Times New Roman"/>
        </w:rPr>
        <w:t>ů</w:t>
      </w:r>
      <w:r w:rsidR="00310E28">
        <w:rPr>
          <w:rFonts w:ascii="Times New Roman" w:hAnsi="Times New Roman"/>
        </w:rPr>
        <w:t>.</w:t>
      </w:r>
    </w:p>
    <w:p w14:paraId="513477CD" w14:textId="77777777" w:rsidR="006731FF" w:rsidRPr="0018766E" w:rsidRDefault="006731FF" w:rsidP="003150D7">
      <w:pPr>
        <w:spacing w:before="120" w:line="240" w:lineRule="auto"/>
        <w:jc w:val="left"/>
        <w:rPr>
          <w:rFonts w:ascii="Times New Roman" w:hAnsi="Times New Roman"/>
          <w:u w:val="single"/>
        </w:rPr>
      </w:pPr>
      <w:r w:rsidRPr="0018766E">
        <w:rPr>
          <w:rFonts w:ascii="Times New Roman" w:hAnsi="Times New Roman"/>
          <w:u w:val="single"/>
        </w:rPr>
        <w:t xml:space="preserve">Centrum pro dokumentaci majetkových převodů </w:t>
      </w:r>
      <w:r w:rsidRPr="0018766E">
        <w:rPr>
          <w:rFonts w:ascii="Times New Roman" w:hAnsi="Times New Roman"/>
          <w:u w:val="single"/>
        </w:rPr>
        <w:br/>
        <w:t xml:space="preserve">kulturních statků obětí 2. světové války </w:t>
      </w:r>
      <w:r w:rsidRPr="0018766E">
        <w:rPr>
          <w:rFonts w:ascii="Times New Roman" w:hAnsi="Times New Roman"/>
          <w:u w:val="single"/>
        </w:rPr>
        <w:tab/>
      </w:r>
      <w:r w:rsidRPr="0018766E">
        <w:rPr>
          <w:rFonts w:ascii="Times New Roman" w:hAnsi="Times New Roman"/>
          <w:u w:val="single"/>
        </w:rPr>
        <w:tab/>
      </w:r>
      <w:r w:rsidRPr="0018766E">
        <w:rPr>
          <w:rFonts w:ascii="Times New Roman" w:hAnsi="Times New Roman"/>
          <w:u w:val="single"/>
        </w:rPr>
        <w:tab/>
      </w:r>
      <w:r w:rsidRPr="0018766E">
        <w:rPr>
          <w:rFonts w:ascii="Times New Roman" w:hAnsi="Times New Roman"/>
          <w:u w:val="single"/>
        </w:rPr>
        <w:tab/>
      </w:r>
      <w:r w:rsidRPr="0018766E">
        <w:rPr>
          <w:rFonts w:ascii="Times New Roman" w:hAnsi="Times New Roman"/>
          <w:u w:val="single"/>
        </w:rPr>
        <w:tab/>
        <w:t>     </w:t>
      </w:r>
      <w:r w:rsidR="00C274AB" w:rsidRPr="0018766E">
        <w:rPr>
          <w:rFonts w:ascii="Times New Roman" w:hAnsi="Times New Roman"/>
          <w:u w:val="single"/>
        </w:rPr>
        <w:t>    </w:t>
      </w:r>
      <w:r w:rsidR="00D27CB0" w:rsidRPr="0018766E">
        <w:rPr>
          <w:rFonts w:ascii="Times New Roman" w:hAnsi="Times New Roman"/>
          <w:u w:val="single"/>
        </w:rPr>
        <w:t>11</w:t>
      </w:r>
      <w:r w:rsidR="007E6540" w:rsidRPr="0018766E">
        <w:rPr>
          <w:rFonts w:ascii="Times New Roman" w:hAnsi="Times New Roman"/>
          <w:u w:val="single"/>
        </w:rPr>
        <w:t> </w:t>
      </w:r>
      <w:r w:rsidR="00D27CB0" w:rsidRPr="0018766E">
        <w:rPr>
          <w:rFonts w:ascii="Times New Roman" w:hAnsi="Times New Roman"/>
          <w:u w:val="single"/>
        </w:rPr>
        <w:t>185</w:t>
      </w:r>
      <w:r w:rsidR="007E6540" w:rsidRPr="0018766E">
        <w:rPr>
          <w:rFonts w:ascii="Times New Roman" w:hAnsi="Times New Roman"/>
          <w:u w:val="single"/>
        </w:rPr>
        <w:t> </w:t>
      </w:r>
      <w:r w:rsidR="00D27CB0" w:rsidRPr="0018766E">
        <w:rPr>
          <w:rFonts w:ascii="Times New Roman" w:hAnsi="Times New Roman"/>
          <w:u w:val="single"/>
        </w:rPr>
        <w:t>000</w:t>
      </w:r>
      <w:r w:rsidRPr="0018766E">
        <w:rPr>
          <w:rFonts w:ascii="Times New Roman" w:hAnsi="Times New Roman"/>
          <w:u w:val="single"/>
        </w:rPr>
        <w:t> Kč</w:t>
      </w:r>
    </w:p>
    <w:p w14:paraId="513477CE" w14:textId="77777777" w:rsidR="006731FF" w:rsidRPr="0018766E" w:rsidRDefault="006731FF" w:rsidP="005F74C1">
      <w:pPr>
        <w:pStyle w:val="Zhlav"/>
        <w:spacing w:before="120"/>
        <w:rPr>
          <w:rFonts w:ascii="Times New Roman" w:hAnsi="Times New Roman"/>
        </w:rPr>
      </w:pPr>
      <w:r w:rsidRPr="0018766E">
        <w:rPr>
          <w:rFonts w:ascii="Times New Roman" w:hAnsi="Times New Roman"/>
        </w:rPr>
        <w:t xml:space="preserve">Jedná se o finanční prostředky ve výši </w:t>
      </w:r>
      <w:r w:rsidR="00D27CB0" w:rsidRPr="0018766E">
        <w:rPr>
          <w:rFonts w:ascii="Times New Roman" w:hAnsi="Times New Roman"/>
        </w:rPr>
        <w:t>11 185</w:t>
      </w:r>
      <w:r w:rsidRPr="0018766E">
        <w:rPr>
          <w:rFonts w:ascii="Times New Roman" w:hAnsi="Times New Roman"/>
        </w:rPr>
        <w:t xml:space="preserve"> tis. Kč na provoz Centra ve smyslu Usnesení vlády ČR ze dne 14. září 2011 č. 683. Centrum pro dokumentaci majetkových převodů kulturních statků obětí II. světové války bylo ustaveno k 1. 11. 2001 na základě rozhodnutí Smíšené pracovní komise (vytvořené usnesením Vlády České republiky ze dne 25. 11. 1998 </w:t>
      </w:r>
      <w:r w:rsidRPr="0018766E">
        <w:rPr>
          <w:rFonts w:ascii="Times New Roman" w:hAnsi="Times New Roman"/>
        </w:rPr>
        <w:lastRenderedPageBreak/>
        <w:t>č. 773), které předsedal místopředseda vlády JUDr. Pavel Rychetský. Komise ukončila svou působnost 15. 5. 2002 a Centrum jednak navazuje na činnost jejího expertního týmu, který pracoval na objasnění historických a hospodářských otázek arizace židovského majetku</w:t>
      </w:r>
      <w:r w:rsidR="001F701E" w:rsidRPr="0018766E">
        <w:rPr>
          <w:rFonts w:ascii="Times New Roman" w:hAnsi="Times New Roman"/>
        </w:rPr>
        <w:t xml:space="preserve"> </w:t>
      </w:r>
      <w:r w:rsidRPr="0018766E">
        <w:rPr>
          <w:rFonts w:ascii="Times New Roman" w:hAnsi="Times New Roman"/>
        </w:rPr>
        <w:t>(hlavně uměleckého charakteru), zároveň však rozšiřuje svou náplň práce především o</w:t>
      </w:r>
      <w:r w:rsidR="0018766E">
        <w:rPr>
          <w:rFonts w:ascii="Times New Roman" w:hAnsi="Times New Roman"/>
        </w:rPr>
        <w:t> </w:t>
      </w:r>
      <w:r w:rsidRPr="0018766E">
        <w:rPr>
          <w:rFonts w:ascii="Times New Roman" w:hAnsi="Times New Roman"/>
        </w:rPr>
        <w:t xml:space="preserve">důkladný heuristický výzkum v našich i zahraničních archivech a o průzkum přírůstkových a inventárních knih jednotlivých muzeí a galerií, umožněný pracovníkům Centra. Usnesením </w:t>
      </w:r>
      <w:r w:rsidR="006D3D6A" w:rsidRPr="0018766E">
        <w:rPr>
          <w:rFonts w:ascii="Times New Roman" w:hAnsi="Times New Roman"/>
        </w:rPr>
        <w:t>v</w:t>
      </w:r>
      <w:r w:rsidRPr="0018766E">
        <w:rPr>
          <w:rFonts w:ascii="Times New Roman" w:hAnsi="Times New Roman"/>
        </w:rPr>
        <w:t xml:space="preserve">lády ze dne 1. 11. 2006 č. 1249 byla činnost Centra prodloužena do konce roku 2011. Náplň práce a činnost Centra byla schválena v usnesení </w:t>
      </w:r>
      <w:r w:rsidR="006D3D6A" w:rsidRPr="0018766E">
        <w:rPr>
          <w:rFonts w:ascii="Times New Roman" w:hAnsi="Times New Roman"/>
        </w:rPr>
        <w:t>v</w:t>
      </w:r>
      <w:r w:rsidRPr="0018766E">
        <w:rPr>
          <w:rFonts w:ascii="Times New Roman" w:hAnsi="Times New Roman"/>
        </w:rPr>
        <w:t>lády České republiky ze dne 22. 1. 2003</w:t>
      </w:r>
      <w:r w:rsidR="0018766E">
        <w:rPr>
          <w:rFonts w:ascii="Times New Roman" w:hAnsi="Times New Roman"/>
        </w:rPr>
        <w:t xml:space="preserve"> </w:t>
      </w:r>
      <w:r w:rsidRPr="0018766E">
        <w:rPr>
          <w:rFonts w:ascii="Times New Roman" w:hAnsi="Times New Roman"/>
        </w:rPr>
        <w:t>č</w:t>
      </w:r>
      <w:r w:rsidR="0018766E">
        <w:rPr>
          <w:rFonts w:ascii="Times New Roman" w:hAnsi="Times New Roman"/>
        </w:rPr>
        <w:t>. </w:t>
      </w:r>
      <w:r w:rsidRPr="0018766E">
        <w:rPr>
          <w:rFonts w:ascii="Times New Roman" w:hAnsi="Times New Roman"/>
        </w:rPr>
        <w:t xml:space="preserve">87 o "Koncepci účinnější péče o movité kulturní dědictví v České republice na léta </w:t>
      </w:r>
      <w:r w:rsidR="000E07DA" w:rsidRPr="0018766E">
        <w:rPr>
          <w:rFonts w:ascii="Times New Roman" w:hAnsi="Times New Roman"/>
          <w:highlight w:val="yellow"/>
        </w:rPr>
        <w:br/>
      </w:r>
      <w:r w:rsidRPr="0018766E">
        <w:rPr>
          <w:rFonts w:ascii="Times New Roman" w:hAnsi="Times New Roman"/>
        </w:rPr>
        <w:t>2003–2008 (koncepce rozvoje muzejnictví)" pod bodem II. 3. 5. Do konce roku 2011 bylo Centrum pro dokumentaci součástí vědecké základny Akademie věd České republiky. Vládním usnesením č. 683 ze dne 14. září 2011 byl statut Centra změněn na obecně prospěšnou společnost, která následně vznikla 6. února 2012 jako Centrum pro dokumentaci majetkových převodů kulturních statků obětí II. světové války, o.p.s.</w:t>
      </w:r>
    </w:p>
    <w:p w14:paraId="513477CF" w14:textId="77777777" w:rsidR="00FE7642" w:rsidRPr="0018766E" w:rsidRDefault="00FE7642" w:rsidP="003150D7">
      <w:pPr>
        <w:spacing w:before="120" w:line="240" w:lineRule="auto"/>
        <w:rPr>
          <w:rFonts w:ascii="Times New Roman" w:hAnsi="Times New Roman"/>
          <w:u w:val="single"/>
        </w:rPr>
      </w:pPr>
      <w:r w:rsidRPr="0018766E">
        <w:rPr>
          <w:rFonts w:ascii="Times New Roman" w:hAnsi="Times New Roman"/>
          <w:u w:val="single"/>
        </w:rPr>
        <w:t>Zabezpečení program</w:t>
      </w:r>
      <w:r w:rsidR="00C53C24">
        <w:rPr>
          <w:rFonts w:ascii="Times New Roman" w:hAnsi="Times New Roman"/>
          <w:u w:val="single"/>
        </w:rPr>
        <w:t>u</w:t>
      </w:r>
      <w:r w:rsidRPr="0018766E">
        <w:rPr>
          <w:rFonts w:ascii="Times New Roman" w:hAnsi="Times New Roman"/>
          <w:u w:val="single"/>
        </w:rPr>
        <w:t xml:space="preserve"> MEDIA Desk a Kreativní Evropa</w:t>
      </w:r>
      <w:r w:rsidRPr="0018766E">
        <w:rPr>
          <w:rFonts w:ascii="Times New Roman" w:hAnsi="Times New Roman"/>
          <w:u w:val="single"/>
        </w:rPr>
        <w:tab/>
      </w:r>
      <w:r w:rsidRPr="0018766E">
        <w:rPr>
          <w:rFonts w:ascii="Times New Roman" w:hAnsi="Times New Roman"/>
          <w:u w:val="single"/>
        </w:rPr>
        <w:tab/>
      </w:r>
      <w:r w:rsidR="00C274AB" w:rsidRPr="0018766E">
        <w:rPr>
          <w:rFonts w:ascii="Times New Roman" w:hAnsi="Times New Roman"/>
          <w:u w:val="single"/>
        </w:rPr>
        <w:tab/>
      </w:r>
      <w:r w:rsidR="007E6540" w:rsidRPr="0018766E">
        <w:rPr>
          <w:rFonts w:ascii="Times New Roman" w:hAnsi="Times New Roman"/>
          <w:u w:val="single"/>
        </w:rPr>
        <w:t> </w:t>
      </w:r>
      <w:r w:rsidR="00C274AB" w:rsidRPr="0018766E">
        <w:rPr>
          <w:rFonts w:ascii="Times New Roman" w:hAnsi="Times New Roman"/>
          <w:u w:val="single"/>
        </w:rPr>
        <w:t>    </w:t>
      </w:r>
      <w:r w:rsidR="000A79F3" w:rsidRPr="0018766E">
        <w:rPr>
          <w:rFonts w:ascii="Times New Roman" w:hAnsi="Times New Roman"/>
          <w:u w:val="single"/>
        </w:rPr>
        <w:t>   </w:t>
      </w:r>
      <w:r w:rsidR="00C274AB" w:rsidRPr="0018766E">
        <w:rPr>
          <w:rFonts w:ascii="Times New Roman" w:hAnsi="Times New Roman"/>
          <w:u w:val="single"/>
        </w:rPr>
        <w:t>   </w:t>
      </w:r>
      <w:r w:rsidRPr="0018766E">
        <w:rPr>
          <w:rFonts w:ascii="Times New Roman" w:hAnsi="Times New Roman"/>
          <w:u w:val="single"/>
        </w:rPr>
        <w:t>3 </w:t>
      </w:r>
      <w:r w:rsidR="00D27CB0" w:rsidRPr="0018766E">
        <w:rPr>
          <w:rFonts w:ascii="Times New Roman" w:hAnsi="Times New Roman"/>
          <w:u w:val="single"/>
        </w:rPr>
        <w:t>750</w:t>
      </w:r>
      <w:r w:rsidRPr="0018766E">
        <w:rPr>
          <w:rFonts w:ascii="Times New Roman" w:hAnsi="Times New Roman"/>
          <w:u w:val="single"/>
        </w:rPr>
        <w:t> 000 Kč</w:t>
      </w:r>
    </w:p>
    <w:p w14:paraId="513477D0" w14:textId="77777777" w:rsidR="00FE7642" w:rsidRPr="0018766E" w:rsidRDefault="00FE7642" w:rsidP="005F74C1">
      <w:pPr>
        <w:tabs>
          <w:tab w:val="left" w:pos="284"/>
        </w:tabs>
        <w:spacing w:before="120" w:line="240" w:lineRule="auto"/>
        <w:rPr>
          <w:rFonts w:ascii="Times New Roman" w:hAnsi="Times New Roman"/>
        </w:rPr>
      </w:pPr>
      <w:r w:rsidRPr="0018766E">
        <w:rPr>
          <w:rFonts w:ascii="Times New Roman" w:hAnsi="Times New Roman"/>
        </w:rPr>
        <w:t>Dne 1. ledna 2014 byl oficiálně zahájen nový program Evropské unie na podporu kulturních a</w:t>
      </w:r>
      <w:r w:rsidR="0018766E">
        <w:rPr>
          <w:rFonts w:ascii="Times New Roman" w:hAnsi="Times New Roman"/>
        </w:rPr>
        <w:t> </w:t>
      </w:r>
      <w:r w:rsidRPr="0018766E">
        <w:rPr>
          <w:rFonts w:ascii="Times New Roman" w:hAnsi="Times New Roman"/>
        </w:rPr>
        <w:t>kreativních odvětví - Kreativní Evropa (pro období let 2014-2020). Podmínkou fungování programu v členských státech EU je vytvoření Kanceláří Kreativní Evropa (Creative Desk). V</w:t>
      </w:r>
      <w:r w:rsidR="0018766E">
        <w:rPr>
          <w:rFonts w:ascii="Times New Roman" w:hAnsi="Times New Roman"/>
        </w:rPr>
        <w:t> </w:t>
      </w:r>
      <w:r w:rsidRPr="0018766E">
        <w:rPr>
          <w:rFonts w:ascii="Times New Roman" w:hAnsi="Times New Roman"/>
        </w:rPr>
        <w:t>ČR je Kancelář Kreativní Evropa tvořena ze dvou částí podle struktury programu. Pro část MEDIA je sídlo v Národním filmovém archivu (zároveň hlavní koordinátor kanceláře), pro</w:t>
      </w:r>
      <w:r w:rsidR="00412836" w:rsidRPr="0018766E">
        <w:rPr>
          <w:rFonts w:ascii="Times New Roman" w:hAnsi="Times New Roman"/>
        </w:rPr>
        <w:t> </w:t>
      </w:r>
      <w:r w:rsidRPr="0018766E">
        <w:rPr>
          <w:rFonts w:ascii="Times New Roman" w:hAnsi="Times New Roman"/>
        </w:rPr>
        <w:t>část KULTURA je kancelář umístěna v Institutu umění - Divadelním ústavu a její součástí je</w:t>
      </w:r>
      <w:r w:rsidR="00412836" w:rsidRPr="0018766E">
        <w:rPr>
          <w:rFonts w:ascii="Times New Roman" w:hAnsi="Times New Roman"/>
        </w:rPr>
        <w:t xml:space="preserve"> </w:t>
      </w:r>
      <w:r w:rsidRPr="0018766E">
        <w:rPr>
          <w:rFonts w:ascii="Times New Roman" w:hAnsi="Times New Roman"/>
        </w:rPr>
        <w:t>i Sekce pro kulturní dědictví se sídlem v Národním památkovém ústavu.</w:t>
      </w:r>
    </w:p>
    <w:p w14:paraId="513477D1" w14:textId="77777777" w:rsidR="00FE7642" w:rsidRPr="0018766E" w:rsidRDefault="00FE7642" w:rsidP="003150D7">
      <w:pPr>
        <w:spacing w:before="120" w:line="240" w:lineRule="auto"/>
        <w:rPr>
          <w:rFonts w:ascii="Times New Roman" w:hAnsi="Times New Roman"/>
          <w:u w:val="single"/>
        </w:rPr>
      </w:pPr>
      <w:r w:rsidRPr="0018766E">
        <w:rPr>
          <w:rFonts w:ascii="Times New Roman" w:hAnsi="Times New Roman"/>
          <w:u w:val="single"/>
        </w:rPr>
        <w:t>Nadační fond obětem holocaustu</w:t>
      </w:r>
      <w:r w:rsidRPr="0018766E">
        <w:rPr>
          <w:rFonts w:ascii="Times New Roman" w:hAnsi="Times New Roman"/>
          <w:u w:val="single"/>
        </w:rPr>
        <w:tab/>
      </w:r>
      <w:r w:rsidRPr="0018766E">
        <w:rPr>
          <w:rFonts w:ascii="Times New Roman" w:hAnsi="Times New Roman"/>
          <w:u w:val="single"/>
        </w:rPr>
        <w:tab/>
      </w:r>
      <w:r w:rsidRPr="0018766E">
        <w:rPr>
          <w:rFonts w:ascii="Times New Roman" w:hAnsi="Times New Roman"/>
          <w:u w:val="single"/>
        </w:rPr>
        <w:tab/>
      </w:r>
      <w:r w:rsidRPr="0018766E">
        <w:rPr>
          <w:rFonts w:ascii="Times New Roman" w:hAnsi="Times New Roman"/>
          <w:u w:val="single"/>
        </w:rPr>
        <w:tab/>
      </w:r>
      <w:r w:rsidRPr="0018766E">
        <w:rPr>
          <w:rFonts w:ascii="Times New Roman" w:hAnsi="Times New Roman"/>
          <w:u w:val="single"/>
        </w:rPr>
        <w:tab/>
      </w:r>
      <w:r w:rsidRPr="0018766E">
        <w:rPr>
          <w:rFonts w:ascii="Times New Roman" w:hAnsi="Times New Roman"/>
          <w:u w:val="single"/>
        </w:rPr>
        <w:tab/>
      </w:r>
      <w:r w:rsidRPr="0018766E">
        <w:rPr>
          <w:rFonts w:ascii="Times New Roman" w:hAnsi="Times New Roman"/>
          <w:u w:val="single"/>
        </w:rPr>
        <w:tab/>
        <w:t>             0</w:t>
      </w:r>
      <w:r w:rsidR="007E6540" w:rsidRPr="0018766E">
        <w:rPr>
          <w:rFonts w:ascii="Times New Roman" w:hAnsi="Times New Roman"/>
          <w:u w:val="single"/>
        </w:rPr>
        <w:t> </w:t>
      </w:r>
      <w:r w:rsidRPr="0018766E">
        <w:rPr>
          <w:rFonts w:ascii="Times New Roman" w:hAnsi="Times New Roman"/>
          <w:u w:val="single"/>
        </w:rPr>
        <w:t>Kč</w:t>
      </w:r>
    </w:p>
    <w:p w14:paraId="513477D2" w14:textId="77777777" w:rsidR="003F5E66" w:rsidRPr="00EA3962" w:rsidRDefault="003F5E66" w:rsidP="005F74C1">
      <w:pPr>
        <w:spacing w:before="120" w:line="240" w:lineRule="auto"/>
        <w:rPr>
          <w:rFonts w:ascii="Times New Roman" w:hAnsi="Times New Roman"/>
          <w:lang w:eastAsia="en-US"/>
        </w:rPr>
      </w:pPr>
      <w:r w:rsidRPr="00EA3962">
        <w:rPr>
          <w:rFonts w:ascii="Times New Roman" w:hAnsi="Times New Roman"/>
          <w:lang w:eastAsia="en-US"/>
        </w:rPr>
        <w:t xml:space="preserve">Nadační fond se podílí na rekonstrukci a záchraně židovských památek zničených nacistickou a komunistickou totalitou, na zmírnění majetkových křivd způsobených během II. světové války, podporuje rozvoj židovských komunit a vzdělávání v judaismu a pietní akce připomínající holocaust. </w:t>
      </w:r>
      <w:r w:rsidR="00822036" w:rsidRPr="00EA3962">
        <w:rPr>
          <w:rFonts w:ascii="Times New Roman" w:hAnsi="Times New Roman"/>
          <w:lang w:eastAsia="en-US"/>
        </w:rPr>
        <w:t>Pro potřeby fondu zůstávají prostředky zařazeny v nárocích z nespotřebovaných výdajů z</w:t>
      </w:r>
      <w:r w:rsidR="00D16068" w:rsidRPr="00EA3962">
        <w:rPr>
          <w:rFonts w:ascii="Times New Roman" w:hAnsi="Times New Roman"/>
          <w:lang w:eastAsia="en-US"/>
        </w:rPr>
        <w:t> rozpočtového roku 2014</w:t>
      </w:r>
      <w:r w:rsidR="00822036" w:rsidRPr="00EA3962">
        <w:rPr>
          <w:rFonts w:ascii="Times New Roman" w:hAnsi="Times New Roman"/>
          <w:lang w:eastAsia="en-US"/>
        </w:rPr>
        <w:t xml:space="preserve">. </w:t>
      </w:r>
    </w:p>
    <w:p w14:paraId="513477D3" w14:textId="77777777" w:rsidR="00FE7642" w:rsidRPr="00033A68" w:rsidRDefault="00FE7642" w:rsidP="001D72D6">
      <w:pPr>
        <w:pStyle w:val="Nadpis2"/>
      </w:pPr>
      <w:bookmarkStart w:id="10" w:name="_Toc431911984"/>
      <w:r w:rsidRPr="00033A68">
        <w:t>B. IV. Příspěvkové organizace zřízené Ministerstvem kultury</w:t>
      </w:r>
      <w:bookmarkEnd w:id="10"/>
    </w:p>
    <w:p w14:paraId="513477D4" w14:textId="77777777" w:rsidR="00FE7642" w:rsidRPr="00F86015" w:rsidRDefault="002E1400" w:rsidP="004B24B3">
      <w:pPr>
        <w:rPr>
          <w:rFonts w:ascii="Times New Roman" w:hAnsi="Times New Roman"/>
          <w:sz w:val="20"/>
          <w:lang w:eastAsia="en-US"/>
        </w:rPr>
      </w:pPr>
      <w:r w:rsidRPr="00033A68">
        <w:rPr>
          <w:rFonts w:ascii="Times New Roman" w:hAnsi="Times New Roman"/>
          <w:lang w:eastAsia="en-US"/>
        </w:rPr>
        <w:tab/>
      </w:r>
      <w:r w:rsidRPr="0016351C">
        <w:rPr>
          <w:rFonts w:ascii="Times New Roman" w:hAnsi="Times New Roman"/>
          <w:lang w:eastAsia="en-US"/>
        </w:rPr>
        <w:tab/>
      </w:r>
      <w:r w:rsidRPr="0016351C">
        <w:rPr>
          <w:rFonts w:ascii="Times New Roman" w:hAnsi="Times New Roman"/>
          <w:lang w:eastAsia="en-US"/>
        </w:rPr>
        <w:tab/>
      </w:r>
      <w:r w:rsidRPr="0016351C">
        <w:rPr>
          <w:rFonts w:ascii="Times New Roman" w:hAnsi="Times New Roman"/>
          <w:lang w:eastAsia="en-US"/>
        </w:rPr>
        <w:tab/>
      </w:r>
      <w:r w:rsidRPr="0016351C">
        <w:rPr>
          <w:rFonts w:ascii="Times New Roman" w:hAnsi="Times New Roman"/>
          <w:lang w:eastAsia="en-US"/>
        </w:rPr>
        <w:tab/>
      </w:r>
      <w:r w:rsidRPr="0016351C">
        <w:rPr>
          <w:rFonts w:ascii="Times New Roman" w:hAnsi="Times New Roman"/>
          <w:lang w:eastAsia="en-US"/>
        </w:rPr>
        <w:tab/>
      </w:r>
      <w:r w:rsidRPr="0016351C">
        <w:rPr>
          <w:rFonts w:ascii="Times New Roman" w:hAnsi="Times New Roman"/>
          <w:lang w:eastAsia="en-US"/>
        </w:rPr>
        <w:tab/>
      </w:r>
      <w:r w:rsidRPr="0016351C">
        <w:rPr>
          <w:rFonts w:ascii="Times New Roman" w:hAnsi="Times New Roman"/>
          <w:lang w:eastAsia="en-US"/>
        </w:rPr>
        <w:tab/>
      </w:r>
      <w:r w:rsidRPr="0016351C">
        <w:rPr>
          <w:rFonts w:ascii="Times New Roman" w:hAnsi="Times New Roman"/>
          <w:lang w:eastAsia="en-US"/>
        </w:rPr>
        <w:tab/>
      </w:r>
      <w:r w:rsidRPr="0016351C">
        <w:rPr>
          <w:rFonts w:ascii="Times New Roman" w:hAnsi="Times New Roman"/>
          <w:lang w:eastAsia="en-US"/>
        </w:rPr>
        <w:tab/>
      </w:r>
      <w:r w:rsidRPr="0016351C">
        <w:rPr>
          <w:rFonts w:ascii="Times New Roman" w:hAnsi="Times New Roman"/>
          <w:lang w:eastAsia="en-US"/>
        </w:rPr>
        <w:tab/>
      </w:r>
      <w:r w:rsidRPr="0016351C">
        <w:rPr>
          <w:rFonts w:ascii="Times New Roman" w:hAnsi="Times New Roman"/>
          <w:lang w:eastAsia="en-US"/>
        </w:rPr>
        <w:tab/>
      </w:r>
      <w:r w:rsidRPr="00F86015">
        <w:rPr>
          <w:rFonts w:ascii="Times New Roman" w:hAnsi="Times New Roman"/>
          <w:sz w:val="20"/>
          <w:lang w:eastAsia="en-US"/>
        </w:rPr>
        <w:t>v</w:t>
      </w:r>
      <w:r w:rsidR="0057540E" w:rsidRPr="00F86015">
        <w:rPr>
          <w:rFonts w:ascii="Times New Roman" w:hAnsi="Times New Roman"/>
          <w:sz w:val="20"/>
          <w:lang w:eastAsia="en-US"/>
        </w:rPr>
        <w:t> </w:t>
      </w:r>
      <w:r w:rsidRPr="00F86015">
        <w:rPr>
          <w:rFonts w:ascii="Times New Roman" w:hAnsi="Times New Roman"/>
          <w:sz w:val="20"/>
          <w:lang w:eastAsia="en-US"/>
        </w:rPr>
        <w:t>Kč</w:t>
      </w:r>
    </w:p>
    <w:tbl>
      <w:tblPr>
        <w:tblW w:w="9087" w:type="dxa"/>
        <w:tblInd w:w="55" w:type="dxa"/>
        <w:tblCellMar>
          <w:left w:w="70" w:type="dxa"/>
          <w:right w:w="70" w:type="dxa"/>
        </w:tblCellMar>
        <w:tblLook w:val="04A0" w:firstRow="1" w:lastRow="0" w:firstColumn="1" w:lastColumn="0" w:noHBand="0" w:noVBand="1"/>
      </w:tblPr>
      <w:tblGrid>
        <w:gridCol w:w="324"/>
        <w:gridCol w:w="4511"/>
        <w:gridCol w:w="1417"/>
        <w:gridCol w:w="1418"/>
        <w:gridCol w:w="1417"/>
      </w:tblGrid>
      <w:tr w:rsidR="00015522" w:rsidRPr="0016351C" w14:paraId="513477DA" w14:textId="77777777" w:rsidTr="0057540E">
        <w:trPr>
          <w:trHeight w:val="600"/>
        </w:trPr>
        <w:tc>
          <w:tcPr>
            <w:tcW w:w="4835" w:type="dxa"/>
            <w:gridSpan w:val="2"/>
            <w:tcBorders>
              <w:top w:val="single" w:sz="12" w:space="0" w:color="auto"/>
              <w:left w:val="single" w:sz="12" w:space="0" w:color="auto"/>
              <w:bottom w:val="single" w:sz="12" w:space="0" w:color="auto"/>
              <w:right w:val="single" w:sz="8" w:space="0" w:color="000000"/>
            </w:tcBorders>
            <w:shd w:val="clear" w:color="auto" w:fill="auto"/>
            <w:vAlign w:val="center"/>
            <w:hideMark/>
          </w:tcPr>
          <w:p w14:paraId="513477D5" w14:textId="77777777" w:rsidR="00015522" w:rsidRPr="0016351C" w:rsidRDefault="00015522" w:rsidP="0057540E">
            <w:pPr>
              <w:spacing w:line="240" w:lineRule="auto"/>
              <w:jc w:val="center"/>
              <w:rPr>
                <w:rFonts w:ascii="Calibri" w:hAnsi="Calibri"/>
                <w:b/>
                <w:bCs/>
                <w:sz w:val="22"/>
                <w:szCs w:val="22"/>
              </w:rPr>
            </w:pPr>
            <w:r w:rsidRPr="0016351C">
              <w:rPr>
                <w:rFonts w:ascii="Calibri" w:hAnsi="Calibri"/>
                <w:b/>
                <w:bCs/>
                <w:sz w:val="22"/>
                <w:szCs w:val="22"/>
              </w:rPr>
              <w:t>Výdajový blok/okruh</w:t>
            </w:r>
          </w:p>
        </w:tc>
        <w:tc>
          <w:tcPr>
            <w:tcW w:w="1417" w:type="dxa"/>
            <w:tcBorders>
              <w:top w:val="single" w:sz="12" w:space="0" w:color="auto"/>
              <w:left w:val="nil"/>
              <w:bottom w:val="single" w:sz="12" w:space="0" w:color="auto"/>
              <w:right w:val="single" w:sz="8" w:space="0" w:color="auto"/>
            </w:tcBorders>
            <w:shd w:val="clear" w:color="auto" w:fill="auto"/>
            <w:vAlign w:val="center"/>
            <w:hideMark/>
          </w:tcPr>
          <w:p w14:paraId="513477D6"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SR 2015</w:t>
            </w:r>
          </w:p>
        </w:tc>
        <w:tc>
          <w:tcPr>
            <w:tcW w:w="1418" w:type="dxa"/>
            <w:tcBorders>
              <w:top w:val="single" w:sz="12" w:space="0" w:color="auto"/>
              <w:left w:val="nil"/>
              <w:bottom w:val="single" w:sz="12" w:space="0" w:color="auto"/>
              <w:right w:val="single" w:sz="8" w:space="0" w:color="auto"/>
            </w:tcBorders>
            <w:shd w:val="clear" w:color="auto" w:fill="auto"/>
            <w:vAlign w:val="center"/>
            <w:hideMark/>
          </w:tcPr>
          <w:p w14:paraId="513477D7"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2016</w:t>
            </w:r>
          </w:p>
        </w:tc>
        <w:tc>
          <w:tcPr>
            <w:tcW w:w="1417" w:type="dxa"/>
            <w:tcBorders>
              <w:top w:val="single" w:sz="12" w:space="0" w:color="auto"/>
              <w:left w:val="nil"/>
              <w:bottom w:val="single" w:sz="12" w:space="0" w:color="auto"/>
              <w:right w:val="single" w:sz="12" w:space="0" w:color="auto"/>
            </w:tcBorders>
            <w:shd w:val="clear" w:color="auto" w:fill="auto"/>
            <w:vAlign w:val="center"/>
            <w:hideMark/>
          </w:tcPr>
          <w:p w14:paraId="513477D8"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 xml:space="preserve"> Rozdíl</w:t>
            </w:r>
          </w:p>
          <w:p w14:paraId="513477D9"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16 -SR 15</w:t>
            </w:r>
          </w:p>
        </w:tc>
      </w:tr>
      <w:tr w:rsidR="0057540E" w:rsidRPr="0016351C" w14:paraId="513477DF" w14:textId="77777777" w:rsidTr="0057540E">
        <w:trPr>
          <w:trHeight w:val="636"/>
        </w:trPr>
        <w:tc>
          <w:tcPr>
            <w:tcW w:w="4835" w:type="dxa"/>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513477DB" w14:textId="77777777" w:rsidR="0057540E" w:rsidRPr="0016351C" w:rsidRDefault="0057540E" w:rsidP="0057540E">
            <w:pPr>
              <w:spacing w:line="240" w:lineRule="auto"/>
              <w:jc w:val="left"/>
              <w:rPr>
                <w:rFonts w:ascii="Calibri" w:hAnsi="Calibri"/>
                <w:sz w:val="22"/>
                <w:szCs w:val="22"/>
              </w:rPr>
            </w:pPr>
            <w:r w:rsidRPr="0016351C">
              <w:rPr>
                <w:rFonts w:ascii="Calibri" w:hAnsi="Calibri"/>
                <w:sz w:val="22"/>
                <w:szCs w:val="22"/>
              </w:rPr>
              <w:t>Příspěvkové organizace zřízené Ministerstvem kultury</w:t>
            </w:r>
          </w:p>
        </w:tc>
        <w:tc>
          <w:tcPr>
            <w:tcW w:w="1417" w:type="dxa"/>
            <w:tcBorders>
              <w:top w:val="nil"/>
              <w:left w:val="nil"/>
              <w:bottom w:val="single" w:sz="8" w:space="0" w:color="auto"/>
              <w:right w:val="single" w:sz="8" w:space="0" w:color="auto"/>
            </w:tcBorders>
            <w:shd w:val="clear" w:color="auto" w:fill="auto"/>
            <w:vAlign w:val="center"/>
            <w:hideMark/>
          </w:tcPr>
          <w:p w14:paraId="513477DC" w14:textId="77777777" w:rsidR="0057540E" w:rsidRPr="0016351C" w:rsidRDefault="0057540E" w:rsidP="0057540E">
            <w:pPr>
              <w:spacing w:line="240" w:lineRule="auto"/>
              <w:jc w:val="right"/>
              <w:rPr>
                <w:rFonts w:ascii="Calibri" w:hAnsi="Calibri"/>
                <w:sz w:val="22"/>
                <w:szCs w:val="22"/>
              </w:rPr>
            </w:pPr>
            <w:r w:rsidRPr="0016351C">
              <w:rPr>
                <w:rFonts w:ascii="Calibri" w:hAnsi="Calibri"/>
                <w:sz w:val="22"/>
                <w:szCs w:val="22"/>
              </w:rPr>
              <w:t>4 929 223 801</w:t>
            </w:r>
          </w:p>
        </w:tc>
        <w:tc>
          <w:tcPr>
            <w:tcW w:w="1418" w:type="dxa"/>
            <w:tcBorders>
              <w:top w:val="nil"/>
              <w:left w:val="nil"/>
              <w:bottom w:val="single" w:sz="8" w:space="0" w:color="auto"/>
              <w:right w:val="single" w:sz="8" w:space="0" w:color="auto"/>
            </w:tcBorders>
            <w:shd w:val="clear" w:color="auto" w:fill="auto"/>
            <w:vAlign w:val="center"/>
            <w:hideMark/>
          </w:tcPr>
          <w:p w14:paraId="513477DD" w14:textId="77777777" w:rsidR="0057540E" w:rsidRPr="0016351C" w:rsidRDefault="0057540E" w:rsidP="0057540E">
            <w:pPr>
              <w:spacing w:line="240" w:lineRule="auto"/>
              <w:jc w:val="right"/>
              <w:rPr>
                <w:rFonts w:ascii="Calibri" w:hAnsi="Calibri"/>
                <w:sz w:val="22"/>
                <w:szCs w:val="22"/>
              </w:rPr>
            </w:pPr>
            <w:r w:rsidRPr="0016351C">
              <w:rPr>
                <w:rFonts w:ascii="Calibri" w:hAnsi="Calibri"/>
                <w:sz w:val="22"/>
                <w:szCs w:val="22"/>
              </w:rPr>
              <w:t>4 948 785 398</w:t>
            </w:r>
          </w:p>
        </w:tc>
        <w:tc>
          <w:tcPr>
            <w:tcW w:w="1417" w:type="dxa"/>
            <w:tcBorders>
              <w:top w:val="nil"/>
              <w:left w:val="nil"/>
              <w:bottom w:val="single" w:sz="8" w:space="0" w:color="auto"/>
              <w:right w:val="single" w:sz="12" w:space="0" w:color="auto"/>
            </w:tcBorders>
            <w:shd w:val="clear" w:color="auto" w:fill="auto"/>
            <w:vAlign w:val="center"/>
            <w:hideMark/>
          </w:tcPr>
          <w:p w14:paraId="513477DE" w14:textId="77777777" w:rsidR="0057540E" w:rsidRPr="0016351C" w:rsidRDefault="0057540E" w:rsidP="0057540E">
            <w:pPr>
              <w:spacing w:line="240" w:lineRule="auto"/>
              <w:jc w:val="right"/>
              <w:rPr>
                <w:rFonts w:ascii="Calibri" w:hAnsi="Calibri"/>
                <w:sz w:val="22"/>
                <w:szCs w:val="22"/>
              </w:rPr>
            </w:pPr>
            <w:r w:rsidRPr="0016351C">
              <w:rPr>
                <w:rFonts w:ascii="Calibri" w:hAnsi="Calibri"/>
                <w:sz w:val="22"/>
                <w:szCs w:val="22"/>
              </w:rPr>
              <w:t>19 561 597</w:t>
            </w:r>
          </w:p>
        </w:tc>
      </w:tr>
      <w:tr w:rsidR="0057540E" w:rsidRPr="0016351C" w14:paraId="513477E5" w14:textId="77777777" w:rsidTr="0057540E">
        <w:trPr>
          <w:trHeight w:val="404"/>
        </w:trPr>
        <w:tc>
          <w:tcPr>
            <w:tcW w:w="324" w:type="dxa"/>
            <w:tcBorders>
              <w:top w:val="nil"/>
              <w:left w:val="single" w:sz="12" w:space="0" w:color="auto"/>
              <w:bottom w:val="single" w:sz="8" w:space="0" w:color="auto"/>
              <w:right w:val="single" w:sz="8" w:space="0" w:color="auto"/>
            </w:tcBorders>
            <w:shd w:val="clear" w:color="auto" w:fill="auto"/>
            <w:vAlign w:val="center"/>
            <w:hideMark/>
          </w:tcPr>
          <w:p w14:paraId="513477E0" w14:textId="77777777" w:rsidR="0057540E" w:rsidRPr="0016351C" w:rsidRDefault="0057540E" w:rsidP="0057540E">
            <w:pPr>
              <w:spacing w:line="240" w:lineRule="auto"/>
              <w:jc w:val="left"/>
              <w:rPr>
                <w:rFonts w:ascii="Calibri" w:hAnsi="Calibri"/>
                <w:sz w:val="22"/>
                <w:szCs w:val="22"/>
              </w:rPr>
            </w:pPr>
            <w:r w:rsidRPr="0016351C">
              <w:rPr>
                <w:rFonts w:ascii="Calibri" w:hAnsi="Calibri"/>
                <w:sz w:val="22"/>
                <w:szCs w:val="22"/>
              </w:rPr>
              <w:t>a)</w:t>
            </w:r>
          </w:p>
        </w:tc>
        <w:tc>
          <w:tcPr>
            <w:tcW w:w="4511" w:type="dxa"/>
            <w:tcBorders>
              <w:top w:val="nil"/>
              <w:left w:val="nil"/>
              <w:bottom w:val="single" w:sz="8" w:space="0" w:color="auto"/>
              <w:right w:val="single" w:sz="8" w:space="0" w:color="auto"/>
            </w:tcBorders>
            <w:shd w:val="clear" w:color="auto" w:fill="auto"/>
            <w:vAlign w:val="center"/>
            <w:hideMark/>
          </w:tcPr>
          <w:p w14:paraId="513477E1" w14:textId="77777777" w:rsidR="0057540E" w:rsidRPr="0016351C" w:rsidRDefault="0057540E" w:rsidP="0057540E">
            <w:pPr>
              <w:spacing w:line="240" w:lineRule="auto"/>
              <w:jc w:val="left"/>
              <w:rPr>
                <w:rFonts w:ascii="Calibri" w:hAnsi="Calibri"/>
                <w:sz w:val="22"/>
                <w:szCs w:val="22"/>
              </w:rPr>
            </w:pPr>
            <w:r w:rsidRPr="0016351C">
              <w:rPr>
                <w:rFonts w:ascii="Calibri" w:hAnsi="Calibri"/>
                <w:sz w:val="22"/>
                <w:szCs w:val="22"/>
              </w:rPr>
              <w:t>Příspěvek na provoz příspěvkovým organizacím</w:t>
            </w:r>
          </w:p>
        </w:tc>
        <w:tc>
          <w:tcPr>
            <w:tcW w:w="1417" w:type="dxa"/>
            <w:tcBorders>
              <w:top w:val="nil"/>
              <w:left w:val="nil"/>
              <w:bottom w:val="single" w:sz="8" w:space="0" w:color="auto"/>
              <w:right w:val="single" w:sz="8" w:space="0" w:color="auto"/>
            </w:tcBorders>
            <w:shd w:val="clear" w:color="auto" w:fill="auto"/>
            <w:vAlign w:val="center"/>
            <w:hideMark/>
          </w:tcPr>
          <w:p w14:paraId="513477E2" w14:textId="77777777" w:rsidR="0057540E" w:rsidRPr="0016351C" w:rsidRDefault="0057540E" w:rsidP="0057540E">
            <w:pPr>
              <w:spacing w:line="240" w:lineRule="auto"/>
              <w:jc w:val="right"/>
              <w:rPr>
                <w:rFonts w:ascii="Calibri" w:hAnsi="Calibri"/>
                <w:sz w:val="22"/>
                <w:szCs w:val="22"/>
              </w:rPr>
            </w:pPr>
            <w:r w:rsidRPr="0016351C">
              <w:rPr>
                <w:rFonts w:ascii="Calibri" w:hAnsi="Calibri"/>
                <w:sz w:val="22"/>
                <w:szCs w:val="22"/>
              </w:rPr>
              <w:t>3 236 546 281</w:t>
            </w:r>
          </w:p>
        </w:tc>
        <w:tc>
          <w:tcPr>
            <w:tcW w:w="1418" w:type="dxa"/>
            <w:tcBorders>
              <w:top w:val="nil"/>
              <w:left w:val="nil"/>
              <w:bottom w:val="single" w:sz="8" w:space="0" w:color="auto"/>
              <w:right w:val="single" w:sz="8" w:space="0" w:color="auto"/>
            </w:tcBorders>
            <w:shd w:val="clear" w:color="auto" w:fill="auto"/>
            <w:vAlign w:val="center"/>
            <w:hideMark/>
          </w:tcPr>
          <w:p w14:paraId="513477E3" w14:textId="77777777" w:rsidR="0057540E" w:rsidRPr="0016351C" w:rsidRDefault="0057540E" w:rsidP="0057540E">
            <w:pPr>
              <w:spacing w:line="240" w:lineRule="auto"/>
              <w:jc w:val="right"/>
              <w:rPr>
                <w:rFonts w:ascii="Calibri" w:hAnsi="Calibri"/>
                <w:sz w:val="22"/>
                <w:szCs w:val="22"/>
              </w:rPr>
            </w:pPr>
            <w:r w:rsidRPr="0016351C">
              <w:rPr>
                <w:rFonts w:ascii="Calibri" w:hAnsi="Calibri"/>
                <w:sz w:val="22"/>
                <w:szCs w:val="22"/>
              </w:rPr>
              <w:t>3 476 468 398</w:t>
            </w:r>
          </w:p>
        </w:tc>
        <w:tc>
          <w:tcPr>
            <w:tcW w:w="1417" w:type="dxa"/>
            <w:tcBorders>
              <w:top w:val="nil"/>
              <w:left w:val="nil"/>
              <w:bottom w:val="single" w:sz="8" w:space="0" w:color="auto"/>
              <w:right w:val="single" w:sz="12" w:space="0" w:color="auto"/>
            </w:tcBorders>
            <w:shd w:val="clear" w:color="auto" w:fill="auto"/>
            <w:vAlign w:val="center"/>
            <w:hideMark/>
          </w:tcPr>
          <w:p w14:paraId="513477E4" w14:textId="77777777" w:rsidR="0057540E" w:rsidRPr="0016351C" w:rsidRDefault="0057540E" w:rsidP="0057540E">
            <w:pPr>
              <w:spacing w:line="240" w:lineRule="auto"/>
              <w:jc w:val="right"/>
              <w:rPr>
                <w:rFonts w:ascii="Calibri" w:hAnsi="Calibri"/>
                <w:sz w:val="22"/>
                <w:szCs w:val="22"/>
              </w:rPr>
            </w:pPr>
            <w:r w:rsidRPr="0016351C">
              <w:rPr>
                <w:rFonts w:ascii="Calibri" w:hAnsi="Calibri"/>
                <w:sz w:val="22"/>
                <w:szCs w:val="22"/>
              </w:rPr>
              <w:t>239 922 117</w:t>
            </w:r>
          </w:p>
        </w:tc>
      </w:tr>
      <w:tr w:rsidR="0057540E" w:rsidRPr="0016351C" w14:paraId="513477EB" w14:textId="77777777" w:rsidTr="0057540E">
        <w:trPr>
          <w:trHeight w:val="410"/>
        </w:trPr>
        <w:tc>
          <w:tcPr>
            <w:tcW w:w="324" w:type="dxa"/>
            <w:tcBorders>
              <w:top w:val="nil"/>
              <w:left w:val="single" w:sz="12" w:space="0" w:color="auto"/>
              <w:bottom w:val="single" w:sz="8" w:space="0" w:color="auto"/>
              <w:right w:val="single" w:sz="8" w:space="0" w:color="auto"/>
            </w:tcBorders>
            <w:shd w:val="clear" w:color="auto" w:fill="auto"/>
            <w:vAlign w:val="center"/>
            <w:hideMark/>
          </w:tcPr>
          <w:p w14:paraId="513477E6" w14:textId="77777777" w:rsidR="0057540E" w:rsidRPr="0016351C" w:rsidRDefault="0057540E" w:rsidP="0057540E">
            <w:pPr>
              <w:spacing w:line="240" w:lineRule="auto"/>
              <w:jc w:val="left"/>
              <w:rPr>
                <w:rFonts w:ascii="Calibri" w:hAnsi="Calibri"/>
                <w:sz w:val="22"/>
                <w:szCs w:val="22"/>
              </w:rPr>
            </w:pPr>
            <w:r w:rsidRPr="0016351C">
              <w:rPr>
                <w:rFonts w:ascii="Calibri" w:hAnsi="Calibri"/>
                <w:sz w:val="22"/>
                <w:szCs w:val="22"/>
              </w:rPr>
              <w:t>b)</w:t>
            </w:r>
          </w:p>
        </w:tc>
        <w:tc>
          <w:tcPr>
            <w:tcW w:w="4511" w:type="dxa"/>
            <w:tcBorders>
              <w:top w:val="nil"/>
              <w:left w:val="nil"/>
              <w:bottom w:val="single" w:sz="8" w:space="0" w:color="auto"/>
              <w:right w:val="single" w:sz="8" w:space="0" w:color="auto"/>
            </w:tcBorders>
            <w:shd w:val="clear" w:color="auto" w:fill="auto"/>
            <w:vAlign w:val="center"/>
            <w:hideMark/>
          </w:tcPr>
          <w:p w14:paraId="513477E7" w14:textId="77777777" w:rsidR="0057540E" w:rsidRPr="0016351C" w:rsidRDefault="0057540E" w:rsidP="0057540E">
            <w:pPr>
              <w:spacing w:line="240" w:lineRule="auto"/>
              <w:jc w:val="left"/>
              <w:rPr>
                <w:rFonts w:ascii="Calibri" w:hAnsi="Calibri"/>
                <w:sz w:val="22"/>
                <w:szCs w:val="22"/>
              </w:rPr>
            </w:pPr>
            <w:r w:rsidRPr="0016351C">
              <w:rPr>
                <w:rFonts w:ascii="Calibri" w:hAnsi="Calibri"/>
                <w:sz w:val="22"/>
                <w:szCs w:val="22"/>
              </w:rPr>
              <w:t>Program péče o národní kulturní poklad</w:t>
            </w:r>
          </w:p>
        </w:tc>
        <w:tc>
          <w:tcPr>
            <w:tcW w:w="1417" w:type="dxa"/>
            <w:tcBorders>
              <w:top w:val="nil"/>
              <w:left w:val="nil"/>
              <w:bottom w:val="single" w:sz="8" w:space="0" w:color="auto"/>
              <w:right w:val="single" w:sz="8" w:space="0" w:color="auto"/>
            </w:tcBorders>
            <w:shd w:val="clear" w:color="auto" w:fill="auto"/>
            <w:vAlign w:val="center"/>
            <w:hideMark/>
          </w:tcPr>
          <w:p w14:paraId="513477E8" w14:textId="77777777" w:rsidR="0057540E" w:rsidRPr="0016351C" w:rsidRDefault="0057540E" w:rsidP="0057540E">
            <w:pPr>
              <w:spacing w:line="240" w:lineRule="auto"/>
              <w:jc w:val="right"/>
              <w:rPr>
                <w:rFonts w:ascii="Calibri" w:hAnsi="Calibri"/>
                <w:sz w:val="22"/>
                <w:szCs w:val="22"/>
              </w:rPr>
            </w:pPr>
            <w:r w:rsidRPr="0016351C">
              <w:rPr>
                <w:rFonts w:ascii="Calibri" w:hAnsi="Calibri"/>
                <w:sz w:val="22"/>
                <w:szCs w:val="22"/>
              </w:rPr>
              <w:t>1 063 785 684</w:t>
            </w:r>
          </w:p>
        </w:tc>
        <w:tc>
          <w:tcPr>
            <w:tcW w:w="1418" w:type="dxa"/>
            <w:tcBorders>
              <w:top w:val="nil"/>
              <w:left w:val="nil"/>
              <w:bottom w:val="single" w:sz="8" w:space="0" w:color="auto"/>
              <w:right w:val="single" w:sz="8" w:space="0" w:color="auto"/>
            </w:tcBorders>
            <w:shd w:val="clear" w:color="auto" w:fill="auto"/>
            <w:vAlign w:val="center"/>
            <w:hideMark/>
          </w:tcPr>
          <w:p w14:paraId="513477E9" w14:textId="77777777" w:rsidR="0057540E" w:rsidRPr="0016351C" w:rsidRDefault="0057540E" w:rsidP="0057540E">
            <w:pPr>
              <w:spacing w:line="240" w:lineRule="auto"/>
              <w:jc w:val="right"/>
              <w:rPr>
                <w:rFonts w:ascii="Calibri" w:hAnsi="Calibri"/>
                <w:sz w:val="22"/>
                <w:szCs w:val="22"/>
              </w:rPr>
            </w:pPr>
            <w:r w:rsidRPr="0016351C">
              <w:rPr>
                <w:rFonts w:ascii="Calibri" w:hAnsi="Calibri"/>
                <w:sz w:val="22"/>
                <w:szCs w:val="22"/>
              </w:rPr>
              <w:t>1 000 000 000</w:t>
            </w:r>
          </w:p>
        </w:tc>
        <w:tc>
          <w:tcPr>
            <w:tcW w:w="1417" w:type="dxa"/>
            <w:tcBorders>
              <w:top w:val="nil"/>
              <w:left w:val="nil"/>
              <w:bottom w:val="single" w:sz="8" w:space="0" w:color="auto"/>
              <w:right w:val="single" w:sz="12" w:space="0" w:color="auto"/>
            </w:tcBorders>
            <w:shd w:val="clear" w:color="auto" w:fill="auto"/>
            <w:vAlign w:val="center"/>
            <w:hideMark/>
          </w:tcPr>
          <w:p w14:paraId="513477EA" w14:textId="77777777" w:rsidR="0057540E" w:rsidRPr="0016351C" w:rsidRDefault="0057540E" w:rsidP="0057540E">
            <w:pPr>
              <w:spacing w:line="240" w:lineRule="auto"/>
              <w:jc w:val="right"/>
              <w:rPr>
                <w:rFonts w:ascii="Calibri" w:hAnsi="Calibri"/>
                <w:sz w:val="22"/>
                <w:szCs w:val="22"/>
              </w:rPr>
            </w:pPr>
            <w:r w:rsidRPr="0016351C">
              <w:rPr>
                <w:rFonts w:ascii="Calibri" w:hAnsi="Calibri"/>
                <w:sz w:val="22"/>
                <w:szCs w:val="22"/>
              </w:rPr>
              <w:t>-63 785 684</w:t>
            </w:r>
          </w:p>
        </w:tc>
      </w:tr>
      <w:tr w:rsidR="0057540E" w:rsidRPr="0016351C" w14:paraId="513477F1" w14:textId="77777777" w:rsidTr="0057540E">
        <w:trPr>
          <w:trHeight w:val="544"/>
        </w:trPr>
        <w:tc>
          <w:tcPr>
            <w:tcW w:w="324" w:type="dxa"/>
            <w:tcBorders>
              <w:top w:val="nil"/>
              <w:left w:val="single" w:sz="12" w:space="0" w:color="auto"/>
              <w:bottom w:val="single" w:sz="8" w:space="0" w:color="auto"/>
              <w:right w:val="single" w:sz="8" w:space="0" w:color="auto"/>
            </w:tcBorders>
            <w:shd w:val="clear" w:color="auto" w:fill="auto"/>
            <w:vAlign w:val="center"/>
            <w:hideMark/>
          </w:tcPr>
          <w:p w14:paraId="513477EC" w14:textId="77777777" w:rsidR="0057540E" w:rsidRPr="0016351C" w:rsidRDefault="0057540E" w:rsidP="0057540E">
            <w:pPr>
              <w:spacing w:line="240" w:lineRule="auto"/>
              <w:jc w:val="left"/>
              <w:rPr>
                <w:rFonts w:ascii="Calibri" w:hAnsi="Calibri"/>
                <w:sz w:val="22"/>
                <w:szCs w:val="22"/>
              </w:rPr>
            </w:pPr>
            <w:r w:rsidRPr="0016351C">
              <w:rPr>
                <w:rFonts w:ascii="Calibri" w:hAnsi="Calibri"/>
                <w:sz w:val="22"/>
                <w:szCs w:val="22"/>
              </w:rPr>
              <w:t>c)</w:t>
            </w:r>
          </w:p>
        </w:tc>
        <w:tc>
          <w:tcPr>
            <w:tcW w:w="4511" w:type="dxa"/>
            <w:tcBorders>
              <w:top w:val="nil"/>
              <w:left w:val="nil"/>
              <w:bottom w:val="single" w:sz="8" w:space="0" w:color="auto"/>
              <w:right w:val="single" w:sz="8" w:space="0" w:color="auto"/>
            </w:tcBorders>
            <w:shd w:val="clear" w:color="auto" w:fill="auto"/>
            <w:vAlign w:val="center"/>
            <w:hideMark/>
          </w:tcPr>
          <w:p w14:paraId="513477ED" w14:textId="77777777" w:rsidR="0057540E" w:rsidRPr="0016351C" w:rsidRDefault="0057540E" w:rsidP="0057540E">
            <w:pPr>
              <w:spacing w:line="240" w:lineRule="auto"/>
              <w:jc w:val="left"/>
              <w:rPr>
                <w:rFonts w:ascii="Calibri" w:hAnsi="Calibri"/>
                <w:sz w:val="22"/>
                <w:szCs w:val="22"/>
              </w:rPr>
            </w:pPr>
            <w:r w:rsidRPr="0016351C">
              <w:rPr>
                <w:rFonts w:ascii="Calibri" w:hAnsi="Calibri"/>
                <w:sz w:val="22"/>
                <w:szCs w:val="22"/>
              </w:rPr>
              <w:t>Rozvoj a obnova materiálně technické základny státních kulturních zařízení</w:t>
            </w:r>
          </w:p>
        </w:tc>
        <w:tc>
          <w:tcPr>
            <w:tcW w:w="1417" w:type="dxa"/>
            <w:tcBorders>
              <w:top w:val="nil"/>
              <w:left w:val="nil"/>
              <w:bottom w:val="single" w:sz="8" w:space="0" w:color="auto"/>
              <w:right w:val="single" w:sz="8" w:space="0" w:color="auto"/>
            </w:tcBorders>
            <w:shd w:val="clear" w:color="auto" w:fill="auto"/>
            <w:vAlign w:val="center"/>
            <w:hideMark/>
          </w:tcPr>
          <w:p w14:paraId="513477EE" w14:textId="77777777" w:rsidR="0057540E" w:rsidRPr="0016351C" w:rsidRDefault="0057540E" w:rsidP="0057540E">
            <w:pPr>
              <w:spacing w:line="240" w:lineRule="auto"/>
              <w:jc w:val="right"/>
              <w:rPr>
                <w:rFonts w:ascii="Calibri" w:hAnsi="Calibri"/>
                <w:sz w:val="22"/>
                <w:szCs w:val="22"/>
              </w:rPr>
            </w:pPr>
            <w:r w:rsidRPr="0016351C">
              <w:rPr>
                <w:rFonts w:ascii="Calibri" w:hAnsi="Calibri"/>
                <w:sz w:val="22"/>
                <w:szCs w:val="22"/>
              </w:rPr>
              <w:t>628 891 836</w:t>
            </w:r>
          </w:p>
        </w:tc>
        <w:tc>
          <w:tcPr>
            <w:tcW w:w="1418" w:type="dxa"/>
            <w:tcBorders>
              <w:top w:val="nil"/>
              <w:left w:val="nil"/>
              <w:bottom w:val="single" w:sz="8" w:space="0" w:color="auto"/>
              <w:right w:val="single" w:sz="8" w:space="0" w:color="auto"/>
            </w:tcBorders>
            <w:shd w:val="clear" w:color="auto" w:fill="auto"/>
            <w:vAlign w:val="center"/>
            <w:hideMark/>
          </w:tcPr>
          <w:p w14:paraId="513477EF" w14:textId="77777777" w:rsidR="0057540E" w:rsidRPr="0016351C" w:rsidRDefault="0057540E" w:rsidP="0057540E">
            <w:pPr>
              <w:spacing w:line="240" w:lineRule="auto"/>
              <w:jc w:val="right"/>
              <w:rPr>
                <w:rFonts w:ascii="Calibri" w:hAnsi="Calibri"/>
                <w:sz w:val="22"/>
                <w:szCs w:val="22"/>
              </w:rPr>
            </w:pPr>
            <w:r w:rsidRPr="0016351C">
              <w:rPr>
                <w:rFonts w:ascii="Calibri" w:hAnsi="Calibri"/>
                <w:sz w:val="22"/>
                <w:szCs w:val="22"/>
              </w:rPr>
              <w:t>422 137 000</w:t>
            </w:r>
          </w:p>
        </w:tc>
        <w:tc>
          <w:tcPr>
            <w:tcW w:w="1417" w:type="dxa"/>
            <w:tcBorders>
              <w:top w:val="nil"/>
              <w:left w:val="nil"/>
              <w:bottom w:val="single" w:sz="8" w:space="0" w:color="auto"/>
              <w:right w:val="single" w:sz="12" w:space="0" w:color="auto"/>
            </w:tcBorders>
            <w:shd w:val="clear" w:color="auto" w:fill="auto"/>
            <w:vAlign w:val="center"/>
            <w:hideMark/>
          </w:tcPr>
          <w:p w14:paraId="513477F0" w14:textId="77777777" w:rsidR="0057540E" w:rsidRPr="0016351C" w:rsidRDefault="0057540E" w:rsidP="0057540E">
            <w:pPr>
              <w:spacing w:line="240" w:lineRule="auto"/>
              <w:jc w:val="right"/>
              <w:rPr>
                <w:rFonts w:ascii="Calibri" w:hAnsi="Calibri"/>
                <w:sz w:val="22"/>
                <w:szCs w:val="22"/>
              </w:rPr>
            </w:pPr>
            <w:r w:rsidRPr="0016351C">
              <w:rPr>
                <w:rFonts w:ascii="Calibri" w:hAnsi="Calibri"/>
                <w:sz w:val="22"/>
                <w:szCs w:val="22"/>
              </w:rPr>
              <w:t>-206 754 836</w:t>
            </w:r>
          </w:p>
        </w:tc>
      </w:tr>
      <w:tr w:rsidR="0057540E" w:rsidRPr="0016351C" w14:paraId="513477F7" w14:textId="77777777" w:rsidTr="0057540E">
        <w:trPr>
          <w:trHeight w:val="538"/>
        </w:trPr>
        <w:tc>
          <w:tcPr>
            <w:tcW w:w="324" w:type="dxa"/>
            <w:tcBorders>
              <w:top w:val="nil"/>
              <w:left w:val="single" w:sz="12" w:space="0" w:color="auto"/>
              <w:bottom w:val="single" w:sz="8" w:space="0" w:color="auto"/>
              <w:right w:val="single" w:sz="8" w:space="0" w:color="auto"/>
            </w:tcBorders>
            <w:shd w:val="clear" w:color="auto" w:fill="auto"/>
            <w:vAlign w:val="center"/>
            <w:hideMark/>
          </w:tcPr>
          <w:p w14:paraId="513477F2" w14:textId="77777777" w:rsidR="0057540E" w:rsidRPr="0016351C" w:rsidRDefault="0057540E" w:rsidP="0057540E">
            <w:pPr>
              <w:spacing w:line="240" w:lineRule="auto"/>
              <w:jc w:val="left"/>
              <w:rPr>
                <w:rFonts w:ascii="Calibri" w:hAnsi="Calibri"/>
                <w:sz w:val="22"/>
                <w:szCs w:val="22"/>
              </w:rPr>
            </w:pPr>
            <w:r w:rsidRPr="0016351C">
              <w:rPr>
                <w:rFonts w:ascii="Calibri" w:hAnsi="Calibri"/>
                <w:sz w:val="22"/>
                <w:szCs w:val="22"/>
              </w:rPr>
              <w:t>d)</w:t>
            </w:r>
          </w:p>
        </w:tc>
        <w:tc>
          <w:tcPr>
            <w:tcW w:w="4511" w:type="dxa"/>
            <w:tcBorders>
              <w:top w:val="nil"/>
              <w:left w:val="nil"/>
              <w:bottom w:val="single" w:sz="8" w:space="0" w:color="auto"/>
              <w:right w:val="single" w:sz="8" w:space="0" w:color="auto"/>
            </w:tcBorders>
            <w:shd w:val="clear" w:color="auto" w:fill="auto"/>
            <w:vAlign w:val="center"/>
            <w:hideMark/>
          </w:tcPr>
          <w:p w14:paraId="513477F3" w14:textId="77777777" w:rsidR="0057540E" w:rsidRPr="0016351C" w:rsidRDefault="0057540E" w:rsidP="0057540E">
            <w:pPr>
              <w:spacing w:line="240" w:lineRule="auto"/>
              <w:jc w:val="left"/>
              <w:rPr>
                <w:rFonts w:ascii="Calibri" w:hAnsi="Calibri"/>
                <w:sz w:val="22"/>
                <w:szCs w:val="22"/>
              </w:rPr>
            </w:pPr>
            <w:r w:rsidRPr="0016351C">
              <w:rPr>
                <w:rFonts w:ascii="Calibri" w:hAnsi="Calibri"/>
                <w:sz w:val="22"/>
                <w:szCs w:val="22"/>
              </w:rPr>
              <w:t>Společné projekty spolufinancované z prostředků finančních mechanismů</w:t>
            </w:r>
          </w:p>
        </w:tc>
        <w:tc>
          <w:tcPr>
            <w:tcW w:w="1417" w:type="dxa"/>
            <w:tcBorders>
              <w:top w:val="nil"/>
              <w:left w:val="nil"/>
              <w:bottom w:val="single" w:sz="8" w:space="0" w:color="auto"/>
              <w:right w:val="single" w:sz="8" w:space="0" w:color="auto"/>
            </w:tcBorders>
            <w:shd w:val="clear" w:color="auto" w:fill="auto"/>
            <w:vAlign w:val="center"/>
            <w:hideMark/>
          </w:tcPr>
          <w:p w14:paraId="513477F4" w14:textId="77777777" w:rsidR="0057540E" w:rsidRPr="0016351C" w:rsidRDefault="0057540E" w:rsidP="0057540E">
            <w:pPr>
              <w:spacing w:line="240" w:lineRule="auto"/>
              <w:jc w:val="right"/>
              <w:rPr>
                <w:rFonts w:ascii="Calibri" w:hAnsi="Calibri"/>
                <w:sz w:val="22"/>
                <w:szCs w:val="22"/>
              </w:rPr>
            </w:pPr>
            <w:r w:rsidRPr="0016351C">
              <w:rPr>
                <w:rFonts w:ascii="Calibri" w:hAnsi="Calibri"/>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513477F5" w14:textId="77777777" w:rsidR="0057540E" w:rsidRPr="0016351C" w:rsidRDefault="0057540E" w:rsidP="0057540E">
            <w:pPr>
              <w:spacing w:line="240" w:lineRule="auto"/>
              <w:jc w:val="right"/>
              <w:rPr>
                <w:rFonts w:ascii="Calibri" w:hAnsi="Calibri"/>
                <w:sz w:val="22"/>
                <w:szCs w:val="22"/>
              </w:rPr>
            </w:pPr>
            <w:r w:rsidRPr="0016351C">
              <w:rPr>
                <w:rFonts w:ascii="Calibri" w:hAnsi="Calibri"/>
                <w:sz w:val="22"/>
                <w:szCs w:val="22"/>
              </w:rPr>
              <w:t>0</w:t>
            </w:r>
          </w:p>
        </w:tc>
        <w:tc>
          <w:tcPr>
            <w:tcW w:w="1417" w:type="dxa"/>
            <w:tcBorders>
              <w:top w:val="nil"/>
              <w:left w:val="nil"/>
              <w:bottom w:val="single" w:sz="8" w:space="0" w:color="auto"/>
              <w:right w:val="single" w:sz="12" w:space="0" w:color="auto"/>
            </w:tcBorders>
            <w:shd w:val="clear" w:color="auto" w:fill="auto"/>
            <w:vAlign w:val="center"/>
            <w:hideMark/>
          </w:tcPr>
          <w:p w14:paraId="513477F6" w14:textId="77777777" w:rsidR="0057540E" w:rsidRPr="0016351C" w:rsidRDefault="0057540E" w:rsidP="0057540E">
            <w:pPr>
              <w:spacing w:line="240" w:lineRule="auto"/>
              <w:jc w:val="right"/>
              <w:rPr>
                <w:rFonts w:ascii="Calibri" w:hAnsi="Calibri"/>
                <w:sz w:val="22"/>
                <w:szCs w:val="22"/>
              </w:rPr>
            </w:pPr>
            <w:r w:rsidRPr="0016351C">
              <w:rPr>
                <w:rFonts w:ascii="Calibri" w:hAnsi="Calibri"/>
                <w:sz w:val="22"/>
                <w:szCs w:val="22"/>
              </w:rPr>
              <w:t>0</w:t>
            </w:r>
          </w:p>
        </w:tc>
      </w:tr>
      <w:tr w:rsidR="0057540E" w:rsidRPr="0016351C" w14:paraId="513477FD" w14:textId="77777777" w:rsidTr="0057540E">
        <w:trPr>
          <w:trHeight w:val="559"/>
        </w:trPr>
        <w:tc>
          <w:tcPr>
            <w:tcW w:w="324" w:type="dxa"/>
            <w:tcBorders>
              <w:top w:val="nil"/>
              <w:left w:val="single" w:sz="12" w:space="0" w:color="auto"/>
              <w:bottom w:val="single" w:sz="12" w:space="0" w:color="auto"/>
              <w:right w:val="single" w:sz="8" w:space="0" w:color="auto"/>
            </w:tcBorders>
            <w:shd w:val="clear" w:color="auto" w:fill="auto"/>
            <w:vAlign w:val="center"/>
            <w:hideMark/>
          </w:tcPr>
          <w:p w14:paraId="513477F8" w14:textId="77777777" w:rsidR="0057540E" w:rsidRPr="0016351C" w:rsidRDefault="0057540E" w:rsidP="0057540E">
            <w:pPr>
              <w:spacing w:line="240" w:lineRule="auto"/>
              <w:jc w:val="left"/>
              <w:rPr>
                <w:rFonts w:ascii="Calibri" w:hAnsi="Calibri"/>
                <w:sz w:val="22"/>
                <w:szCs w:val="22"/>
              </w:rPr>
            </w:pPr>
            <w:r w:rsidRPr="0016351C">
              <w:rPr>
                <w:rFonts w:ascii="Calibri" w:hAnsi="Calibri"/>
                <w:sz w:val="22"/>
                <w:szCs w:val="22"/>
              </w:rPr>
              <w:t>e)</w:t>
            </w:r>
          </w:p>
        </w:tc>
        <w:tc>
          <w:tcPr>
            <w:tcW w:w="4511" w:type="dxa"/>
            <w:tcBorders>
              <w:top w:val="nil"/>
              <w:left w:val="nil"/>
              <w:bottom w:val="single" w:sz="12" w:space="0" w:color="auto"/>
              <w:right w:val="single" w:sz="8" w:space="0" w:color="auto"/>
            </w:tcBorders>
            <w:shd w:val="clear" w:color="auto" w:fill="auto"/>
            <w:vAlign w:val="center"/>
            <w:hideMark/>
          </w:tcPr>
          <w:p w14:paraId="513477F9" w14:textId="77777777" w:rsidR="0057540E" w:rsidRPr="0016351C" w:rsidRDefault="0057540E" w:rsidP="0057540E">
            <w:pPr>
              <w:spacing w:line="240" w:lineRule="auto"/>
              <w:jc w:val="left"/>
              <w:rPr>
                <w:rFonts w:ascii="Calibri" w:hAnsi="Calibri"/>
                <w:sz w:val="22"/>
                <w:szCs w:val="22"/>
              </w:rPr>
            </w:pPr>
            <w:r w:rsidRPr="0016351C">
              <w:rPr>
                <w:rFonts w:ascii="Calibri" w:hAnsi="Calibri"/>
                <w:sz w:val="22"/>
                <w:szCs w:val="22"/>
              </w:rPr>
              <w:t>Kulturní dědictví ve vlastnictví státu, podporované evropskými fondy</w:t>
            </w:r>
          </w:p>
        </w:tc>
        <w:tc>
          <w:tcPr>
            <w:tcW w:w="1417" w:type="dxa"/>
            <w:tcBorders>
              <w:top w:val="nil"/>
              <w:left w:val="nil"/>
              <w:bottom w:val="single" w:sz="12" w:space="0" w:color="auto"/>
              <w:right w:val="single" w:sz="8" w:space="0" w:color="auto"/>
            </w:tcBorders>
            <w:shd w:val="clear" w:color="auto" w:fill="auto"/>
            <w:vAlign w:val="center"/>
            <w:hideMark/>
          </w:tcPr>
          <w:p w14:paraId="513477FA" w14:textId="77777777" w:rsidR="0057540E" w:rsidRPr="0016351C" w:rsidRDefault="0057540E" w:rsidP="0057540E">
            <w:pPr>
              <w:spacing w:line="240" w:lineRule="auto"/>
              <w:jc w:val="right"/>
              <w:rPr>
                <w:rFonts w:ascii="Calibri" w:hAnsi="Calibri"/>
                <w:sz w:val="22"/>
                <w:szCs w:val="22"/>
              </w:rPr>
            </w:pPr>
            <w:r w:rsidRPr="0016351C">
              <w:rPr>
                <w:rFonts w:ascii="Calibri" w:hAnsi="Calibri"/>
                <w:sz w:val="22"/>
                <w:szCs w:val="22"/>
              </w:rPr>
              <w:t>0</w:t>
            </w:r>
          </w:p>
        </w:tc>
        <w:tc>
          <w:tcPr>
            <w:tcW w:w="1418" w:type="dxa"/>
            <w:tcBorders>
              <w:top w:val="nil"/>
              <w:left w:val="nil"/>
              <w:bottom w:val="single" w:sz="12" w:space="0" w:color="auto"/>
              <w:right w:val="single" w:sz="8" w:space="0" w:color="auto"/>
            </w:tcBorders>
            <w:shd w:val="clear" w:color="auto" w:fill="auto"/>
            <w:vAlign w:val="center"/>
            <w:hideMark/>
          </w:tcPr>
          <w:p w14:paraId="513477FB" w14:textId="77777777" w:rsidR="0057540E" w:rsidRPr="0016351C" w:rsidRDefault="0057540E" w:rsidP="0057540E">
            <w:pPr>
              <w:spacing w:line="240" w:lineRule="auto"/>
              <w:jc w:val="right"/>
              <w:rPr>
                <w:rFonts w:ascii="Calibri" w:hAnsi="Calibri"/>
                <w:sz w:val="22"/>
                <w:szCs w:val="22"/>
              </w:rPr>
            </w:pPr>
            <w:r w:rsidRPr="0016351C">
              <w:rPr>
                <w:rFonts w:ascii="Calibri" w:hAnsi="Calibri"/>
                <w:sz w:val="22"/>
                <w:szCs w:val="22"/>
              </w:rPr>
              <w:t>50 180 000</w:t>
            </w:r>
          </w:p>
        </w:tc>
        <w:tc>
          <w:tcPr>
            <w:tcW w:w="1417" w:type="dxa"/>
            <w:tcBorders>
              <w:top w:val="nil"/>
              <w:left w:val="nil"/>
              <w:bottom w:val="single" w:sz="12" w:space="0" w:color="auto"/>
              <w:right w:val="single" w:sz="12" w:space="0" w:color="auto"/>
            </w:tcBorders>
            <w:shd w:val="clear" w:color="auto" w:fill="auto"/>
            <w:vAlign w:val="center"/>
            <w:hideMark/>
          </w:tcPr>
          <w:p w14:paraId="513477FC" w14:textId="77777777" w:rsidR="0057540E" w:rsidRPr="0016351C" w:rsidRDefault="0057540E" w:rsidP="0057540E">
            <w:pPr>
              <w:spacing w:line="240" w:lineRule="auto"/>
              <w:jc w:val="right"/>
              <w:rPr>
                <w:rFonts w:ascii="Calibri" w:hAnsi="Calibri"/>
                <w:sz w:val="22"/>
                <w:szCs w:val="22"/>
              </w:rPr>
            </w:pPr>
            <w:r w:rsidRPr="0016351C">
              <w:rPr>
                <w:rFonts w:ascii="Calibri" w:hAnsi="Calibri"/>
                <w:sz w:val="22"/>
                <w:szCs w:val="22"/>
              </w:rPr>
              <w:t>50 180 000</w:t>
            </w:r>
          </w:p>
        </w:tc>
      </w:tr>
    </w:tbl>
    <w:p w14:paraId="513477FE" w14:textId="77777777" w:rsidR="00653321" w:rsidRDefault="00653321" w:rsidP="0046190C">
      <w:pPr>
        <w:rPr>
          <w:rFonts w:ascii="Times New Roman" w:hAnsi="Times New Roman"/>
          <w:b/>
        </w:rPr>
      </w:pPr>
    </w:p>
    <w:p w14:paraId="513477FF" w14:textId="77777777" w:rsidR="00FE7642" w:rsidRPr="00802023" w:rsidRDefault="00FE7642" w:rsidP="0046190C">
      <w:pPr>
        <w:rPr>
          <w:rFonts w:ascii="Times New Roman" w:hAnsi="Times New Roman"/>
          <w:b/>
        </w:rPr>
      </w:pPr>
      <w:r w:rsidRPr="00802023">
        <w:rPr>
          <w:rFonts w:ascii="Times New Roman" w:hAnsi="Times New Roman"/>
          <w:b/>
        </w:rPr>
        <w:lastRenderedPageBreak/>
        <w:t>a)</w:t>
      </w:r>
      <w:r w:rsidRPr="00802023">
        <w:rPr>
          <w:rFonts w:ascii="Times New Roman" w:hAnsi="Times New Roman"/>
          <w:b/>
        </w:rPr>
        <w:tab/>
        <w:t>příspěvek na provoz příspěvkovým organizacím</w:t>
      </w:r>
      <w:r w:rsidRPr="00802023">
        <w:rPr>
          <w:rFonts w:ascii="Times New Roman" w:hAnsi="Times New Roman"/>
          <w:b/>
        </w:rPr>
        <w:tab/>
      </w:r>
      <w:r w:rsidRPr="00802023">
        <w:rPr>
          <w:rFonts w:ascii="Times New Roman" w:hAnsi="Times New Roman"/>
          <w:b/>
        </w:rPr>
        <w:tab/>
      </w:r>
      <w:r w:rsidRPr="00802023">
        <w:rPr>
          <w:rFonts w:ascii="Times New Roman" w:hAnsi="Times New Roman"/>
          <w:b/>
        </w:rPr>
        <w:tab/>
      </w:r>
      <w:r w:rsidR="007E6540" w:rsidRPr="00802023">
        <w:rPr>
          <w:rFonts w:ascii="Times New Roman" w:hAnsi="Times New Roman"/>
          <w:b/>
        </w:rPr>
        <w:t> </w:t>
      </w:r>
      <w:r w:rsidRPr="00802023">
        <w:rPr>
          <w:rFonts w:ascii="Times New Roman" w:hAnsi="Times New Roman"/>
          <w:b/>
        </w:rPr>
        <w:t>   </w:t>
      </w:r>
      <w:r w:rsidR="00D27CB0" w:rsidRPr="00802023">
        <w:rPr>
          <w:rFonts w:ascii="Times New Roman" w:hAnsi="Times New Roman"/>
          <w:b/>
        </w:rPr>
        <w:t>3 </w:t>
      </w:r>
      <w:r w:rsidR="0057540E" w:rsidRPr="00802023">
        <w:rPr>
          <w:rFonts w:ascii="Times New Roman" w:hAnsi="Times New Roman"/>
          <w:b/>
        </w:rPr>
        <w:t>476</w:t>
      </w:r>
      <w:r w:rsidR="007E6540" w:rsidRPr="00802023">
        <w:rPr>
          <w:rFonts w:ascii="Times New Roman" w:hAnsi="Times New Roman"/>
          <w:b/>
        </w:rPr>
        <w:t> </w:t>
      </w:r>
      <w:r w:rsidR="0057540E" w:rsidRPr="00802023">
        <w:rPr>
          <w:rFonts w:ascii="Times New Roman" w:hAnsi="Times New Roman"/>
          <w:b/>
        </w:rPr>
        <w:t>468</w:t>
      </w:r>
      <w:r w:rsidR="007E6540" w:rsidRPr="00802023">
        <w:rPr>
          <w:rFonts w:ascii="Times New Roman" w:hAnsi="Times New Roman"/>
          <w:b/>
        </w:rPr>
        <w:t> </w:t>
      </w:r>
      <w:r w:rsidR="0057540E" w:rsidRPr="00802023">
        <w:rPr>
          <w:rFonts w:ascii="Times New Roman" w:hAnsi="Times New Roman"/>
          <w:b/>
        </w:rPr>
        <w:t>398</w:t>
      </w:r>
      <w:r w:rsidR="007E6540" w:rsidRPr="00802023">
        <w:rPr>
          <w:rFonts w:ascii="Times New Roman" w:hAnsi="Times New Roman"/>
          <w:b/>
        </w:rPr>
        <w:t> </w:t>
      </w:r>
      <w:r w:rsidRPr="00802023">
        <w:rPr>
          <w:rFonts w:ascii="Times New Roman" w:hAnsi="Times New Roman"/>
          <w:b/>
        </w:rPr>
        <w:t>Kč</w:t>
      </w:r>
    </w:p>
    <w:p w14:paraId="51347800" w14:textId="77777777" w:rsidR="00802023" w:rsidRPr="00802023" w:rsidRDefault="00802023" w:rsidP="00802023">
      <w:pPr>
        <w:spacing w:before="120" w:line="240" w:lineRule="auto"/>
        <w:rPr>
          <w:rFonts w:ascii="Times New Roman" w:hAnsi="Times New Roman"/>
        </w:rPr>
      </w:pPr>
      <w:r w:rsidRPr="00802023">
        <w:rPr>
          <w:rFonts w:ascii="Times New Roman" w:hAnsi="Times New Roman"/>
        </w:rPr>
        <w:t xml:space="preserve">Příspěvek na provoz příspěvkových organizací slouží k financování rozdílu mezi náklady </w:t>
      </w:r>
      <w:r w:rsidRPr="00802023">
        <w:rPr>
          <w:rFonts w:ascii="Times New Roman" w:hAnsi="Times New Roman"/>
          <w:highlight w:val="yellow"/>
        </w:rPr>
        <w:br/>
      </w:r>
      <w:r w:rsidRPr="00802023">
        <w:rPr>
          <w:rFonts w:ascii="Times New Roman" w:hAnsi="Times New Roman"/>
        </w:rPr>
        <w:t xml:space="preserve">a výnosy v hlavní činnosti příspěvkových organizací. Náklady příspěvkových organizací jsou vyvolány činností organizací a jejich povinností zajistit dostupnost a přiměřený rozsah veřejné kulturní služby, zabezpečit zachování hodnoty svěřeného majetku České republiky </w:t>
      </w:r>
      <w:r w:rsidRPr="00802023">
        <w:rPr>
          <w:rFonts w:ascii="Times New Roman" w:hAnsi="Times New Roman"/>
          <w:highlight w:val="yellow"/>
        </w:rPr>
        <w:br/>
      </w:r>
      <w:r w:rsidRPr="00802023">
        <w:rPr>
          <w:rFonts w:ascii="Times New Roman" w:hAnsi="Times New Roman"/>
        </w:rPr>
        <w:t>a profinancovat náklady povinné udržitelnosti projektů spolufinancovaných v rámci finančních mechanismů. V souladu s plánovanými potřebami příspěvkových organizací pro</w:t>
      </w:r>
      <w:r w:rsidR="006265C8">
        <w:rPr>
          <w:rFonts w:ascii="Times New Roman" w:hAnsi="Times New Roman"/>
        </w:rPr>
        <w:t> </w:t>
      </w:r>
      <w:r w:rsidRPr="00802023">
        <w:rPr>
          <w:rFonts w:ascii="Times New Roman" w:hAnsi="Times New Roman"/>
        </w:rPr>
        <w:t xml:space="preserve">rok 2016 bylo v rámci schválených celkových výdajů kapitoly 334 Ministerstvo kultury navrženo zvýšení rozpočtu ve výdajovém okruhu příspěvek na provoz příspěvkovým organizacím na úroveň 3 476 468 tis. Kč. Zvýšení výdajů v příspěvku na provoz je </w:t>
      </w:r>
      <w:r w:rsidR="006265C8">
        <w:rPr>
          <w:rFonts w:ascii="Times New Roman" w:hAnsi="Times New Roman"/>
        </w:rPr>
        <w:t xml:space="preserve">schváleno </w:t>
      </w:r>
      <w:r w:rsidRPr="00802023">
        <w:rPr>
          <w:rFonts w:ascii="Times New Roman" w:hAnsi="Times New Roman"/>
        </w:rPr>
        <w:t>o</w:t>
      </w:r>
      <w:r w:rsidR="006265C8">
        <w:rPr>
          <w:rFonts w:ascii="Times New Roman" w:hAnsi="Times New Roman"/>
        </w:rPr>
        <w:t> </w:t>
      </w:r>
      <w:r w:rsidRPr="00802023">
        <w:rPr>
          <w:rFonts w:ascii="Times New Roman" w:hAnsi="Times New Roman"/>
        </w:rPr>
        <w:t>239 922 tis. Kč. Navýšení zahrnuje růst výdajů příspěvkových organizací na</w:t>
      </w:r>
      <w:r w:rsidR="00C53C24">
        <w:rPr>
          <w:rFonts w:ascii="Times New Roman" w:hAnsi="Times New Roman"/>
        </w:rPr>
        <w:t> </w:t>
      </w:r>
      <w:r w:rsidRPr="00802023">
        <w:rPr>
          <w:rFonts w:ascii="Times New Roman" w:hAnsi="Times New Roman"/>
        </w:rPr>
        <w:t>mzdy o 3%</w:t>
      </w:r>
      <w:r w:rsidR="00F86015">
        <w:rPr>
          <w:rFonts w:ascii="Times New Roman" w:hAnsi="Times New Roman"/>
        </w:rPr>
        <w:t>,</w:t>
      </w:r>
      <w:r w:rsidRPr="00802023">
        <w:rPr>
          <w:rFonts w:ascii="Times New Roman" w:hAnsi="Times New Roman"/>
        </w:rPr>
        <w:t xml:space="preserve"> stanovené vládou a dále navýšení mzdových nákladů ve výši 94 500 tis. Kč určené na platovou stabilizaci vyjednané </w:t>
      </w:r>
      <w:r w:rsidR="00682391">
        <w:rPr>
          <w:rFonts w:ascii="Times New Roman" w:hAnsi="Times New Roman"/>
        </w:rPr>
        <w:t>M</w:t>
      </w:r>
      <w:r w:rsidRPr="00802023">
        <w:rPr>
          <w:rFonts w:ascii="Times New Roman" w:hAnsi="Times New Roman"/>
        </w:rPr>
        <w:t>inisterstvem kultury. Včetně příslušných odvodů v absolutním vyjádření činí celkové navýšení na mzdové náklady příspěvkových organizací 167 707 tis. Kč. Navýšení příspěvku na provoz příspěvkových organizací zapracované</w:t>
      </w:r>
      <w:r w:rsidR="00C53C24">
        <w:rPr>
          <w:rFonts w:ascii="Times New Roman" w:hAnsi="Times New Roman"/>
        </w:rPr>
        <w:t xml:space="preserve"> </w:t>
      </w:r>
      <w:r w:rsidRPr="00802023">
        <w:rPr>
          <w:rFonts w:ascii="Times New Roman" w:hAnsi="Times New Roman"/>
        </w:rPr>
        <w:t>do</w:t>
      </w:r>
      <w:r w:rsidR="00C53C24">
        <w:rPr>
          <w:rFonts w:ascii="Times New Roman" w:hAnsi="Times New Roman"/>
        </w:rPr>
        <w:t> </w:t>
      </w:r>
      <w:r w:rsidRPr="00802023">
        <w:rPr>
          <w:rFonts w:ascii="Times New Roman" w:hAnsi="Times New Roman"/>
        </w:rPr>
        <w:t>rozpočtu v rámci stanovených výdajů kapitoly dosahuje meziročního růstu 7,41% při</w:t>
      </w:r>
      <w:r w:rsidR="00C53C24">
        <w:rPr>
          <w:rFonts w:ascii="Times New Roman" w:hAnsi="Times New Roman"/>
        </w:rPr>
        <w:t> </w:t>
      </w:r>
      <w:r w:rsidRPr="00802023">
        <w:rPr>
          <w:rFonts w:ascii="Times New Roman" w:hAnsi="Times New Roman"/>
        </w:rPr>
        <w:t>současném meziročním růstu prostředků na mzdové náklady o 6,87%.</w:t>
      </w:r>
    </w:p>
    <w:p w14:paraId="51347801" w14:textId="77777777" w:rsidR="00802023" w:rsidRPr="00802023" w:rsidRDefault="00802023" w:rsidP="00802023">
      <w:pPr>
        <w:spacing w:before="120" w:line="240" w:lineRule="auto"/>
        <w:rPr>
          <w:rFonts w:ascii="Times New Roman" w:hAnsi="Times New Roman"/>
        </w:rPr>
      </w:pPr>
      <w:r w:rsidRPr="00802023">
        <w:rPr>
          <w:rFonts w:ascii="Times New Roman" w:hAnsi="Times New Roman"/>
        </w:rPr>
        <w:t>Zvýšení výdajů alokovaných v ukazateli příspěvek na provoz pro rok 2016 v zásadě pokrývá stabilizační cíl navýšení v oblasti mezd a z větší části náklady vyplývající z povinné doby udržitelnosti projektů IOP. Pro naplnění statutárních činností a úkolů stanovených příspěvkovým organizacím k zajištění optimálního rozsahu veřejné kulturní služby při</w:t>
      </w:r>
      <w:r w:rsidR="00C53C24">
        <w:rPr>
          <w:rFonts w:ascii="Times New Roman" w:hAnsi="Times New Roman"/>
        </w:rPr>
        <w:t> </w:t>
      </w:r>
      <w:r w:rsidRPr="00802023">
        <w:rPr>
          <w:rFonts w:ascii="Times New Roman" w:hAnsi="Times New Roman"/>
        </w:rPr>
        <w:t>současném zachování hodnoty státního majetku jsou rozpočtované prostředky i nadále limitujícím faktorem růstu příspěvkových organizací.</w:t>
      </w:r>
    </w:p>
    <w:p w14:paraId="51347802" w14:textId="77777777" w:rsidR="00802023" w:rsidRPr="00802023" w:rsidRDefault="00802023" w:rsidP="00802023">
      <w:pPr>
        <w:spacing w:before="120" w:line="240" w:lineRule="auto"/>
        <w:rPr>
          <w:rFonts w:ascii="Times New Roman" w:hAnsi="Times New Roman"/>
        </w:rPr>
      </w:pPr>
      <w:r w:rsidRPr="00802023">
        <w:rPr>
          <w:rFonts w:ascii="Times New Roman" w:hAnsi="Times New Roman"/>
        </w:rPr>
        <w:t>Příspěvek na provoz zapracovaný do rozpočtů příspěvkových organizací pro rok 2016 činí 3 360 75</w:t>
      </w:r>
      <w:r w:rsidR="00C53C24">
        <w:rPr>
          <w:rFonts w:ascii="Times New Roman" w:hAnsi="Times New Roman"/>
        </w:rPr>
        <w:t>2</w:t>
      </w:r>
      <w:r w:rsidRPr="00802023">
        <w:rPr>
          <w:rFonts w:ascii="Times New Roman" w:hAnsi="Times New Roman"/>
        </w:rPr>
        <w:t> tis. Kč. Rozdíl ve srovnání s celkovými výdaji kapitoly plánovanými pro</w:t>
      </w:r>
      <w:r w:rsidR="00C53C24">
        <w:rPr>
          <w:rFonts w:ascii="Times New Roman" w:hAnsi="Times New Roman"/>
        </w:rPr>
        <w:t> </w:t>
      </w:r>
      <w:r w:rsidRPr="00802023">
        <w:rPr>
          <w:rFonts w:ascii="Times New Roman" w:hAnsi="Times New Roman"/>
        </w:rPr>
        <w:t>příspěvkové organizace činí 115 716 tis. Kč. Podíl nerozepsaných výdajů na úrovni 3,3</w:t>
      </w:r>
      <w:r w:rsidR="005C7315">
        <w:rPr>
          <w:rFonts w:ascii="Times New Roman" w:hAnsi="Times New Roman"/>
        </w:rPr>
        <w:t>3</w:t>
      </w:r>
      <w:r w:rsidRPr="00802023">
        <w:rPr>
          <w:rFonts w:ascii="Times New Roman" w:hAnsi="Times New Roman"/>
        </w:rPr>
        <w:t>% dosahuje obvyklé výše předchozích let a odpovídá přesnosti této fáze rozpočtových prací. Nerozepsané výdaje v příspěvku na provoz představují výdaje, které jsou z důvodu nemožnosti vyčíslit přesný dopad do rozpočtu organizací alokovány na úrovni kapitoly. Tyto výdaje b</w:t>
      </w:r>
      <w:r w:rsidR="00C53C24">
        <w:rPr>
          <w:rFonts w:ascii="Times New Roman" w:hAnsi="Times New Roman"/>
        </w:rPr>
        <w:t xml:space="preserve">yly </w:t>
      </w:r>
      <w:r w:rsidRPr="00802023">
        <w:rPr>
          <w:rFonts w:ascii="Times New Roman" w:hAnsi="Times New Roman"/>
        </w:rPr>
        <w:t xml:space="preserve">zapracovávány do rozpočtu organizací </w:t>
      </w:r>
      <w:r w:rsidR="00C53C24" w:rsidRPr="00802023">
        <w:rPr>
          <w:rFonts w:ascii="Times New Roman" w:hAnsi="Times New Roman"/>
        </w:rPr>
        <w:t xml:space="preserve">při stanovení schváleného rozpočtu </w:t>
      </w:r>
      <w:r w:rsidR="00C53C24">
        <w:rPr>
          <w:rFonts w:ascii="Times New Roman" w:hAnsi="Times New Roman"/>
        </w:rPr>
        <w:t>nebo budou zapracovány</w:t>
      </w:r>
      <w:r w:rsidRPr="00802023">
        <w:rPr>
          <w:rFonts w:ascii="Times New Roman" w:hAnsi="Times New Roman"/>
        </w:rPr>
        <w:t xml:space="preserve"> v průběhu roku 2016 prostřednictvím úprav rozpočtu. V průběhu roku 2016 jsou nerozepsané prostředky zdrojem finančního krytí rozpočtových úprav, jejichž cílem je vyrovnat dopady neplánovaných, nerozpočtovaných skutečností na hospodaření organizací, které přesahují jejich zdroje.</w:t>
      </w:r>
    </w:p>
    <w:p w14:paraId="51347803" w14:textId="77777777" w:rsidR="00802023" w:rsidRPr="00D2597E" w:rsidRDefault="00802023" w:rsidP="00112B42">
      <w:pPr>
        <w:spacing w:before="120" w:after="240" w:line="240" w:lineRule="auto"/>
      </w:pPr>
      <w:r w:rsidRPr="00682391">
        <w:rPr>
          <w:rFonts w:ascii="Times New Roman" w:hAnsi="Times New Roman"/>
        </w:rPr>
        <w:t>Z celkového objemu finančních prostředků alokovaných v ukazateli příspěvek na provoz příspěvkových organizací ve výši 3 476 </w:t>
      </w:r>
      <w:r w:rsidR="00682391" w:rsidRPr="00682391">
        <w:rPr>
          <w:rFonts w:ascii="Times New Roman" w:hAnsi="Times New Roman"/>
        </w:rPr>
        <w:t>468</w:t>
      </w:r>
      <w:r w:rsidRPr="00682391">
        <w:rPr>
          <w:rFonts w:ascii="Times New Roman" w:hAnsi="Times New Roman"/>
        </w:rPr>
        <w:t> tis. Kč byly do plánů nákladů a výnosů na rok 201</w:t>
      </w:r>
      <w:r w:rsidR="005C7315" w:rsidRPr="005C7315">
        <w:rPr>
          <w:rFonts w:ascii="Times New Roman" w:hAnsi="Times New Roman"/>
        </w:rPr>
        <w:t>6</w:t>
      </w:r>
      <w:r w:rsidRPr="00682391">
        <w:rPr>
          <w:rFonts w:ascii="Times New Roman" w:hAnsi="Times New Roman"/>
        </w:rPr>
        <w:t xml:space="preserve"> příspěvkových organizací zahrnuty finanční prostředky v objemu 3 360 </w:t>
      </w:r>
      <w:r w:rsidR="00682391" w:rsidRPr="00682391">
        <w:rPr>
          <w:rFonts w:ascii="Times New Roman" w:hAnsi="Times New Roman"/>
        </w:rPr>
        <w:t>75</w:t>
      </w:r>
      <w:r w:rsidR="00C53C24">
        <w:rPr>
          <w:rFonts w:ascii="Times New Roman" w:hAnsi="Times New Roman"/>
        </w:rPr>
        <w:t>2</w:t>
      </w:r>
      <w:r w:rsidRPr="00682391">
        <w:rPr>
          <w:rFonts w:ascii="Times New Roman" w:hAnsi="Times New Roman"/>
        </w:rPr>
        <w:t xml:space="preserve"> tis. Kč. </w:t>
      </w:r>
      <w:r w:rsidR="00C53C24">
        <w:rPr>
          <w:rFonts w:ascii="Times New Roman" w:hAnsi="Times New Roman"/>
        </w:rPr>
        <w:t>P</w:t>
      </w:r>
      <w:r w:rsidRPr="00682391">
        <w:rPr>
          <w:rFonts w:ascii="Times New Roman" w:hAnsi="Times New Roman"/>
        </w:rPr>
        <w:t>říspěv</w:t>
      </w:r>
      <w:r w:rsidR="00C53C24">
        <w:rPr>
          <w:rFonts w:ascii="Times New Roman" w:hAnsi="Times New Roman"/>
        </w:rPr>
        <w:t>e</w:t>
      </w:r>
      <w:r w:rsidRPr="00682391">
        <w:rPr>
          <w:rFonts w:ascii="Times New Roman" w:hAnsi="Times New Roman"/>
        </w:rPr>
        <w:t>k na provoz příspěvkovým organizacím ve zřizovatelské působnosti Ministerstva kultury je stanoven v souladu se zákonem č. 218/2000 Sb., o rozpočtových pravidlech, ve</w:t>
      </w:r>
      <w:r w:rsidR="00C53C24">
        <w:rPr>
          <w:rFonts w:ascii="Times New Roman" w:hAnsi="Times New Roman"/>
        </w:rPr>
        <w:t> </w:t>
      </w:r>
      <w:r w:rsidRPr="00682391">
        <w:rPr>
          <w:rFonts w:ascii="Times New Roman" w:hAnsi="Times New Roman"/>
        </w:rPr>
        <w:t>znění pozdějších předpisů, jako rozdíl mezi náklady a výnosy organizací plánovanými na</w:t>
      </w:r>
      <w:r w:rsidR="00C53C24">
        <w:rPr>
          <w:rFonts w:ascii="Times New Roman" w:hAnsi="Times New Roman"/>
        </w:rPr>
        <w:t> </w:t>
      </w:r>
      <w:r w:rsidRPr="00682391">
        <w:rPr>
          <w:rFonts w:ascii="Times New Roman" w:hAnsi="Times New Roman"/>
        </w:rPr>
        <w:t>rok 2016. Při celkových nákladech plánovaných pro rok 2016 příspěvkovými organizacemi v</w:t>
      </w:r>
      <w:r w:rsidR="00C53C24">
        <w:rPr>
          <w:rFonts w:ascii="Times New Roman" w:hAnsi="Times New Roman"/>
        </w:rPr>
        <w:t> </w:t>
      </w:r>
      <w:r w:rsidRPr="00682391">
        <w:rPr>
          <w:rFonts w:ascii="Times New Roman" w:hAnsi="Times New Roman"/>
        </w:rPr>
        <w:t xml:space="preserve">objemu 4 910 814 tis. Kč jsou </w:t>
      </w:r>
      <w:r w:rsidR="00696F40">
        <w:rPr>
          <w:rFonts w:ascii="Times New Roman" w:hAnsi="Times New Roman"/>
        </w:rPr>
        <w:t xml:space="preserve">rozpočtovány </w:t>
      </w:r>
      <w:r w:rsidRPr="00682391">
        <w:rPr>
          <w:rFonts w:ascii="Times New Roman" w:hAnsi="Times New Roman"/>
        </w:rPr>
        <w:t>výnosy z</w:t>
      </w:r>
      <w:r w:rsidR="00C53C24">
        <w:rPr>
          <w:rFonts w:ascii="Times New Roman" w:hAnsi="Times New Roman"/>
        </w:rPr>
        <w:t> </w:t>
      </w:r>
      <w:r w:rsidRPr="00682391">
        <w:rPr>
          <w:rFonts w:ascii="Times New Roman" w:hAnsi="Times New Roman"/>
        </w:rPr>
        <w:t>činnosti</w:t>
      </w:r>
      <w:r w:rsidR="00C53C24">
        <w:rPr>
          <w:rFonts w:ascii="Times New Roman" w:hAnsi="Times New Roman"/>
        </w:rPr>
        <w:t xml:space="preserve"> </w:t>
      </w:r>
      <w:r w:rsidRPr="00682391">
        <w:rPr>
          <w:rFonts w:ascii="Times New Roman" w:hAnsi="Times New Roman"/>
        </w:rPr>
        <w:t xml:space="preserve">a finanční výnosy organizací v celkové výši 1 482 087 tis. Kč. Plánované zvýšení výnosů </w:t>
      </w:r>
      <w:r w:rsidRPr="00802023">
        <w:rPr>
          <w:rFonts w:ascii="Times New Roman" w:hAnsi="Times New Roman"/>
        </w:rPr>
        <w:t>z vlastních výkonů organizací v hospodaření organizací o 9,74 % umožní při současném zvýšení osobních nákladů o 9,96 % zvýšit krytí věcných nákladů příspěvkových organizací o</w:t>
      </w:r>
      <w:r w:rsidR="00C53C24">
        <w:rPr>
          <w:rFonts w:ascii="Times New Roman" w:hAnsi="Times New Roman"/>
        </w:rPr>
        <w:t> </w:t>
      </w:r>
      <w:r w:rsidRPr="00802023">
        <w:rPr>
          <w:rFonts w:ascii="Times New Roman" w:hAnsi="Times New Roman"/>
        </w:rPr>
        <w:t>dodatečných 8,77 % v meziročním srovnání. V celkové bilanci nákladů zůstává i nadále</w:t>
      </w:r>
      <w:r>
        <w:rPr>
          <w:rFonts w:ascii="Times New Roman" w:hAnsi="Times New Roman"/>
        </w:rPr>
        <w:t xml:space="preserve"> </w:t>
      </w:r>
      <w:r w:rsidRPr="00802023">
        <w:rPr>
          <w:rFonts w:ascii="Times New Roman" w:hAnsi="Times New Roman"/>
        </w:rPr>
        <w:t xml:space="preserve">hlavním zdrojem krytí osobních nákladů </w:t>
      </w:r>
      <w:r w:rsidRPr="00802023">
        <w:rPr>
          <w:rFonts w:ascii="Times New Roman" w:hAnsi="Times New Roman"/>
        </w:rPr>
        <w:lastRenderedPageBreak/>
        <w:t>příspěvek na provoz a věcných nákladů (náklady z činnosti bez</w:t>
      </w:r>
      <w:r w:rsidR="00C53C24">
        <w:rPr>
          <w:rFonts w:ascii="Times New Roman" w:hAnsi="Times New Roman"/>
        </w:rPr>
        <w:t> </w:t>
      </w:r>
      <w:r w:rsidRPr="00802023">
        <w:rPr>
          <w:rFonts w:ascii="Times New Roman" w:hAnsi="Times New Roman"/>
        </w:rPr>
        <w:t>osobních nákladů) vlastní výnosy příspěvkových organizací (výnosy z činnosti + finanční). Z uvedených údajů je patrné, že zvýšení příspěvku na provoz bylo využito především k zlepšení platové úrovně zaměstnanců. Čistý růst osobních nákladů dosáhne 6,87%. Statisticky se k němu ve hrubém srovnání přičítají další vlivy při sestavování návrhu rozpočtu pro rok 2015 nezahrnuté do rozpočtové základny. V důsledku zvýšení příspěvku na provoz a při současném zvýšení úrovně krytí věcných nákladů (navýšení osobních nákladů nebylo realizováno na úkor věcných nákladů), tak očekáváme posilování finanční stability v hospodaření příspěvkových organizací a zlepšení schopnosti organizací vypořádat se s neočekávanými vlivy. Negativní trend poklesu výnosů z ostatních příspěvků</w:t>
      </w:r>
      <w:r w:rsidR="00750E3B">
        <w:rPr>
          <w:rFonts w:ascii="Times New Roman" w:hAnsi="Times New Roman"/>
        </w:rPr>
        <w:t xml:space="preserve"> </w:t>
      </w:r>
      <w:r w:rsidRPr="00802023">
        <w:rPr>
          <w:rFonts w:ascii="Times New Roman" w:hAnsi="Times New Roman"/>
        </w:rPr>
        <w:t>a dotací registrovaný v předchozích třech letech se podařilo zvrátit. Meziroční růst o více než 41% je dokladem finanční stabilizace v předchozím roce. Důvodem je skutečnost, že</w:t>
      </w:r>
      <w:r w:rsidR="00750E3B">
        <w:rPr>
          <w:rFonts w:ascii="Times New Roman" w:hAnsi="Times New Roman"/>
        </w:rPr>
        <w:t xml:space="preserve"> </w:t>
      </w:r>
      <w:r w:rsidRPr="00802023">
        <w:rPr>
          <w:rFonts w:ascii="Times New Roman" w:hAnsi="Times New Roman"/>
        </w:rPr>
        <w:t>na získání dotací a příspěvků z vnějšku kapitoly 334 Ministerstvo kultury musí organizace vynakládat ještě před jejich získáním významné částky a ani jejich vynaložení negarantuje získání takových dodatečných prostředků. Mechanismus působení předchozích let je tak zřejmý. Pokud organizace nedisponují příspěvkem v dostatečné výši nad vlastními fixní</w:t>
      </w:r>
      <w:r w:rsidR="005C7315">
        <w:rPr>
          <w:rFonts w:ascii="Times New Roman" w:hAnsi="Times New Roman"/>
        </w:rPr>
        <w:t>mi</w:t>
      </w:r>
      <w:r w:rsidRPr="00802023">
        <w:rPr>
          <w:rFonts w:ascii="Times New Roman" w:hAnsi="Times New Roman"/>
        </w:rPr>
        <w:t xml:space="preserve"> náklady, nemají z čeho uhradit náklady na rozvoj vícezdrojového financování a naopak svoji aktivitu v této oblasti utlumují. Na zlepšení trendu se také podepisuje významnou měrou vyšší bilanční suma výdajů veřejných rozpočtů a zlepšení vývoje ekonomiky ČR jako celku</w:t>
      </w:r>
      <w:r w:rsidRPr="00D2597E">
        <w:t>.</w:t>
      </w:r>
    </w:p>
    <w:p w14:paraId="51347804" w14:textId="77777777" w:rsidR="00802023" w:rsidRPr="00F86015" w:rsidRDefault="00750E3B" w:rsidP="00802023">
      <w:pPr>
        <w:pStyle w:val="Zhlav"/>
        <w:spacing w:before="120"/>
        <w:rPr>
          <w:rFonts w:ascii="Times New Roman" w:hAnsi="Times New Roman"/>
        </w:rPr>
      </w:pPr>
      <w:r w:rsidRPr="00750E3B">
        <w:rPr>
          <w:noProof/>
        </w:rPr>
        <w:drawing>
          <wp:inline distT="0" distB="0" distL="0" distR="0" wp14:anchorId="51347FB7" wp14:editId="51347FB8">
            <wp:extent cx="5759450" cy="126419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264193"/>
                    </a:xfrm>
                    <a:prstGeom prst="rect">
                      <a:avLst/>
                    </a:prstGeom>
                    <a:noFill/>
                    <a:ln>
                      <a:noFill/>
                    </a:ln>
                  </pic:spPr>
                </pic:pic>
              </a:graphicData>
            </a:graphic>
          </wp:inline>
        </w:drawing>
      </w:r>
    </w:p>
    <w:p w14:paraId="51347805" w14:textId="77777777" w:rsidR="00802023" w:rsidRPr="00D2597E" w:rsidRDefault="00802023" w:rsidP="00802023">
      <w:pPr>
        <w:spacing w:after="120" w:line="240" w:lineRule="auto"/>
        <w:ind w:left="284"/>
        <w:jc w:val="right"/>
        <w:rPr>
          <w:sz w:val="20"/>
        </w:rPr>
      </w:pPr>
      <w:r w:rsidRPr="00D2597E">
        <w:rPr>
          <w:sz w:val="20"/>
        </w:rPr>
        <w:t>údaje uvedeny v tis. Kč</w:t>
      </w:r>
    </w:p>
    <w:p w14:paraId="51347806" w14:textId="77777777" w:rsidR="00802023" w:rsidRPr="00802023" w:rsidRDefault="00802023" w:rsidP="00802023">
      <w:pPr>
        <w:spacing w:before="120" w:line="240" w:lineRule="auto"/>
        <w:rPr>
          <w:rFonts w:ascii="Times New Roman" w:hAnsi="Times New Roman"/>
        </w:rPr>
      </w:pPr>
      <w:r w:rsidRPr="00802023">
        <w:rPr>
          <w:rFonts w:ascii="Times New Roman" w:hAnsi="Times New Roman"/>
        </w:rPr>
        <w:t>Celková výše příspěvku na provoz v</w:t>
      </w:r>
      <w:r w:rsidR="00112B42">
        <w:rPr>
          <w:rFonts w:ascii="Times New Roman" w:hAnsi="Times New Roman"/>
        </w:rPr>
        <w:t>e schváleném</w:t>
      </w:r>
      <w:r w:rsidRPr="00802023">
        <w:rPr>
          <w:rFonts w:ascii="Times New Roman" w:hAnsi="Times New Roman"/>
        </w:rPr>
        <w:t xml:space="preserve"> rozpočtu pro rok 2016 umožňuje příspěvkovým organizacím zabezpečit nezbytný rozsah výkonu základních statutárních činností a běžnou péči o majetek České republiky, ale již neumožňuje zajistit optimální rozsah veřejné kulturní služby, řádné hospodaření s majetkem ČR a ani zvládnout v plném rozsahu náklady udržitelnosti kapacit vybudovaných v rámci projektů IOP. Nedostatečně profinancovanou z hlediska státního rozpočtu je rovněž oblast přípravy projektů IROP, které si vyžádají značné náklady v řádu desítek až sta milionů na účast ve výzvách. </w:t>
      </w:r>
    </w:p>
    <w:p w14:paraId="51347807" w14:textId="77777777" w:rsidR="00802023" w:rsidRPr="00802023" w:rsidRDefault="00802023" w:rsidP="00802023">
      <w:pPr>
        <w:pStyle w:val="Zhlav"/>
        <w:rPr>
          <w:rFonts w:ascii="Times New Roman" w:hAnsi="Times New Roman"/>
        </w:rPr>
      </w:pPr>
      <w:r w:rsidRPr="00802023">
        <w:rPr>
          <w:rFonts w:ascii="Times New Roman" w:hAnsi="Times New Roman"/>
        </w:rPr>
        <w:t xml:space="preserve">Významné zvýšení výdajů na příspěvek na provoz příspěvkových organizací se projevilo vedle růstu osobních nákladů, také růstem výnosů z činnosti a růstem absolutní výše věcných nákladů. Plánování zvýšených výnosů je velmi pozitivním signálem, neboť znamená, </w:t>
      </w:r>
      <w:r w:rsidRPr="00802023">
        <w:rPr>
          <w:rFonts w:ascii="Times New Roman" w:hAnsi="Times New Roman"/>
          <w:highlight w:val="yellow"/>
        </w:rPr>
        <w:br/>
      </w:r>
      <w:r w:rsidRPr="00802023">
        <w:rPr>
          <w:rFonts w:ascii="Times New Roman" w:hAnsi="Times New Roman"/>
        </w:rPr>
        <w:t xml:space="preserve">že zvýšené výdaje zřizovatele sebou přinesou udržení nebo zvýšení produktivity a efektivity, recipročně snížení nákladovosti veřejné kulturní služby. Hospodaření muzeí, galerií, památníků, divadelních, tanečních, pěveckých a hudebních souborů je zatíženo velkými materiálními (fixními) náklady, které mohou klesat pouze za specifických a většinou krátce trvajících podmínek. Pozitivní vliv ekonomické recese na náklady v důsledku poklesu cen (energií, paliv, materiálu a některých typů obecných služeb) již byl koncem roku 2014 vyčerpán a pro rok 2016 je nezbytné plánovat náklady velmi obezřetně. Vedle této obezřetnosti je důvodem pro překonání hladiny věcných nákladů předchozích období i fakt, </w:t>
      </w:r>
      <w:r w:rsidRPr="00802023">
        <w:rPr>
          <w:rFonts w:ascii="Times New Roman" w:hAnsi="Times New Roman"/>
          <w:highlight w:val="yellow"/>
        </w:rPr>
        <w:br/>
      </w:r>
      <w:r w:rsidRPr="00802023">
        <w:rPr>
          <w:rFonts w:ascii="Times New Roman" w:hAnsi="Times New Roman"/>
        </w:rPr>
        <w:t>že navržený příspěvek umožnil částečně kompenzovat dodatečné náklady spojené s provozem dokončených projektů IOP a dalších nových kapacit, které byly vybudovány zejména s</w:t>
      </w:r>
      <w:r>
        <w:rPr>
          <w:rFonts w:ascii="Times New Roman" w:hAnsi="Times New Roman"/>
        </w:rPr>
        <w:t> </w:t>
      </w:r>
      <w:r w:rsidRPr="00802023">
        <w:rPr>
          <w:rFonts w:ascii="Times New Roman" w:hAnsi="Times New Roman"/>
        </w:rPr>
        <w:t>cílem</w:t>
      </w:r>
      <w:r>
        <w:rPr>
          <w:rFonts w:ascii="Times New Roman" w:hAnsi="Times New Roman"/>
        </w:rPr>
        <w:t xml:space="preserve"> </w:t>
      </w:r>
      <w:r w:rsidRPr="00802023">
        <w:rPr>
          <w:rFonts w:ascii="Times New Roman" w:hAnsi="Times New Roman"/>
        </w:rPr>
        <w:lastRenderedPageBreak/>
        <w:t xml:space="preserve">rozšíření návštěvnického provozu a zvyšování kvality stávající depozitární kapacity. Přesto </w:t>
      </w:r>
      <w:r w:rsidRPr="00802023">
        <w:rPr>
          <w:rFonts w:ascii="Times New Roman" w:hAnsi="Times New Roman"/>
          <w:highlight w:val="yellow"/>
        </w:rPr>
        <w:br/>
      </w:r>
      <w:r w:rsidRPr="00802023">
        <w:rPr>
          <w:rFonts w:ascii="Times New Roman" w:hAnsi="Times New Roman"/>
        </w:rPr>
        <w:t xml:space="preserve">i nadále příspěvek na provoz příspěvkovým organizacím bohužel neumožňuje v potřebné míře doplňovat sbírky paměťových institucí o předměty ze současnosti a potřeby akvizic </w:t>
      </w:r>
      <w:r w:rsidRPr="00802023">
        <w:rPr>
          <w:rFonts w:ascii="Times New Roman" w:hAnsi="Times New Roman"/>
          <w:highlight w:val="yellow"/>
        </w:rPr>
        <w:br/>
      </w:r>
      <w:r w:rsidRPr="00802023">
        <w:rPr>
          <w:rFonts w:ascii="Times New Roman" w:hAnsi="Times New Roman"/>
        </w:rPr>
        <w:t>a restaurování zůstávají hluboko pod hranicí nezbytnosti. Obtížně a pomalu se daří zajišťovat potřeby digitalizace s ohledem na finanční náročnost takových projektů.</w:t>
      </w:r>
    </w:p>
    <w:p w14:paraId="51347808" w14:textId="77777777" w:rsidR="00802023" w:rsidRPr="00802023" w:rsidRDefault="00802023" w:rsidP="00802023">
      <w:pPr>
        <w:spacing w:before="120" w:line="240" w:lineRule="auto"/>
        <w:rPr>
          <w:rFonts w:ascii="Times New Roman" w:hAnsi="Times New Roman"/>
          <w:u w:val="single"/>
        </w:rPr>
      </w:pPr>
      <w:r w:rsidRPr="00802023">
        <w:rPr>
          <w:rFonts w:ascii="Times New Roman" w:hAnsi="Times New Roman"/>
          <w:u w:val="single"/>
        </w:rPr>
        <w:t>Příspěvek na provoz rozepsaný organizacím</w:t>
      </w:r>
      <w:r w:rsidRPr="00802023">
        <w:rPr>
          <w:rFonts w:ascii="Times New Roman" w:hAnsi="Times New Roman"/>
          <w:u w:val="single"/>
        </w:rPr>
        <w:tab/>
      </w:r>
      <w:r w:rsidRPr="00802023">
        <w:rPr>
          <w:rFonts w:ascii="Times New Roman" w:hAnsi="Times New Roman"/>
          <w:u w:val="single"/>
        </w:rPr>
        <w:tab/>
      </w:r>
      <w:r w:rsidRPr="00802023">
        <w:rPr>
          <w:rFonts w:ascii="Times New Roman" w:hAnsi="Times New Roman"/>
          <w:u w:val="single"/>
        </w:rPr>
        <w:tab/>
      </w:r>
      <w:r w:rsidRPr="00802023">
        <w:rPr>
          <w:rFonts w:ascii="Times New Roman" w:hAnsi="Times New Roman"/>
          <w:u w:val="single"/>
        </w:rPr>
        <w:tab/>
      </w:r>
      <w:r w:rsidRPr="00802023">
        <w:rPr>
          <w:rFonts w:ascii="Times New Roman" w:hAnsi="Times New Roman"/>
          <w:u w:val="single"/>
        </w:rPr>
        <w:tab/>
        <w:t>    3 360 752 </w:t>
      </w:r>
      <w:r w:rsidR="00C53C24">
        <w:rPr>
          <w:rFonts w:ascii="Times New Roman" w:hAnsi="Times New Roman"/>
          <w:u w:val="single"/>
        </w:rPr>
        <w:t>000</w:t>
      </w:r>
      <w:r w:rsidRPr="00802023">
        <w:rPr>
          <w:rFonts w:ascii="Times New Roman" w:hAnsi="Times New Roman"/>
          <w:u w:val="single"/>
        </w:rPr>
        <w:t> Kč</w:t>
      </w:r>
    </w:p>
    <w:p w14:paraId="51347809" w14:textId="77777777" w:rsidR="00802023" w:rsidRPr="00802023" w:rsidRDefault="00802023" w:rsidP="00112B42">
      <w:pPr>
        <w:spacing w:before="120" w:after="240" w:line="240" w:lineRule="auto"/>
        <w:rPr>
          <w:rFonts w:ascii="Times New Roman" w:hAnsi="Times New Roman"/>
          <w:noProof/>
        </w:rPr>
      </w:pPr>
      <w:r w:rsidRPr="00802023">
        <w:rPr>
          <w:rFonts w:ascii="Times New Roman" w:hAnsi="Times New Roman"/>
        </w:rPr>
        <w:t>Celkový objem příspěvku na provoz zapracovaný do rozpočtů příspěvkových organizací pro</w:t>
      </w:r>
      <w:r w:rsidR="00112B42">
        <w:rPr>
          <w:rFonts w:ascii="Times New Roman" w:hAnsi="Times New Roman"/>
        </w:rPr>
        <w:t> </w:t>
      </w:r>
      <w:r w:rsidRPr="00802023">
        <w:rPr>
          <w:rFonts w:ascii="Times New Roman" w:hAnsi="Times New Roman"/>
        </w:rPr>
        <w:t>rok 2016 je ve srovnání se schváleným rozpočtem pro rok 2015 navýšen o</w:t>
      </w:r>
      <w:r w:rsidR="00112B42">
        <w:rPr>
          <w:rFonts w:ascii="Times New Roman" w:hAnsi="Times New Roman"/>
        </w:rPr>
        <w:t> </w:t>
      </w:r>
      <w:r w:rsidRPr="00802023">
        <w:rPr>
          <w:rFonts w:ascii="Times New Roman" w:hAnsi="Times New Roman"/>
        </w:rPr>
        <w:t>296 408 tis. Kč a relativním vyjádření představuje 109,67% předchozího roku.</w:t>
      </w:r>
      <w:r w:rsidRPr="00802023">
        <w:rPr>
          <w:rFonts w:ascii="Times New Roman" w:hAnsi="Times New Roman"/>
          <w:noProof/>
        </w:rPr>
        <w:t xml:space="preserve"> </w:t>
      </w:r>
    </w:p>
    <w:p w14:paraId="5134780A" w14:textId="77777777" w:rsidR="00802023" w:rsidRPr="00F86015" w:rsidRDefault="00802023" w:rsidP="00802023">
      <w:pPr>
        <w:pStyle w:val="Zhlav"/>
        <w:spacing w:before="120"/>
        <w:rPr>
          <w:rFonts w:ascii="Times New Roman" w:hAnsi="Times New Roman"/>
        </w:rPr>
      </w:pPr>
      <w:r w:rsidRPr="00D2597E">
        <w:rPr>
          <w:noProof/>
        </w:rPr>
        <w:drawing>
          <wp:inline distT="0" distB="0" distL="0" distR="0" wp14:anchorId="51347FB9" wp14:editId="51347FBA">
            <wp:extent cx="5759450" cy="335587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55870"/>
                    </a:xfrm>
                    <a:prstGeom prst="rect">
                      <a:avLst/>
                    </a:prstGeom>
                    <a:noFill/>
                    <a:ln>
                      <a:noFill/>
                    </a:ln>
                  </pic:spPr>
                </pic:pic>
              </a:graphicData>
            </a:graphic>
          </wp:inline>
        </w:drawing>
      </w:r>
    </w:p>
    <w:p w14:paraId="5134780B" w14:textId="77777777" w:rsidR="00802023" w:rsidRPr="00D2597E" w:rsidRDefault="00802023" w:rsidP="00802023">
      <w:pPr>
        <w:spacing w:after="120" w:line="240" w:lineRule="auto"/>
        <w:ind w:left="284"/>
        <w:rPr>
          <w:i/>
          <w:sz w:val="16"/>
          <w:szCs w:val="16"/>
        </w:rPr>
      </w:pPr>
      <w:r w:rsidRPr="00D2597E">
        <w:rPr>
          <w:i/>
          <w:sz w:val="16"/>
          <w:szCs w:val="16"/>
        </w:rPr>
        <w:t xml:space="preserve">Poznámka: 2010 - 2013 = skutečnost, 2014 = schválený rozpočet včetně trvalých vlivů, 2015 = upravený rozpočet, 2016 = </w:t>
      </w:r>
      <w:r w:rsidR="00C53C24">
        <w:rPr>
          <w:i/>
          <w:sz w:val="16"/>
          <w:szCs w:val="16"/>
        </w:rPr>
        <w:t>schválený rozpoče</w:t>
      </w:r>
      <w:r w:rsidRPr="00D2597E">
        <w:rPr>
          <w:i/>
          <w:sz w:val="16"/>
          <w:szCs w:val="16"/>
        </w:rPr>
        <w:t>t</w:t>
      </w:r>
    </w:p>
    <w:p w14:paraId="5134780C" w14:textId="77777777" w:rsidR="00802023" w:rsidRPr="00802023" w:rsidRDefault="00802023" w:rsidP="00802023">
      <w:pPr>
        <w:spacing w:before="120" w:line="240" w:lineRule="auto"/>
        <w:rPr>
          <w:rFonts w:ascii="Times New Roman" w:hAnsi="Times New Roman"/>
        </w:rPr>
      </w:pPr>
      <w:r w:rsidRPr="00802023">
        <w:rPr>
          <w:rFonts w:ascii="Times New Roman" w:hAnsi="Times New Roman"/>
        </w:rPr>
        <w:t xml:space="preserve">Podíl příspěvku na provoz od zřizovatele </w:t>
      </w:r>
      <w:r w:rsidR="00C53C24">
        <w:rPr>
          <w:rFonts w:ascii="Times New Roman" w:hAnsi="Times New Roman"/>
        </w:rPr>
        <w:t xml:space="preserve">byl </w:t>
      </w:r>
      <w:r w:rsidRPr="00802023">
        <w:rPr>
          <w:rFonts w:ascii="Times New Roman" w:hAnsi="Times New Roman"/>
        </w:rPr>
        <w:t>plánován v poměru k celkovým nákladům na</w:t>
      </w:r>
      <w:r w:rsidR="00C53C24">
        <w:rPr>
          <w:rFonts w:ascii="Times New Roman" w:hAnsi="Times New Roman"/>
        </w:rPr>
        <w:t> </w:t>
      </w:r>
      <w:r w:rsidRPr="00802023">
        <w:rPr>
          <w:rFonts w:ascii="Times New Roman" w:hAnsi="Times New Roman"/>
        </w:rPr>
        <w:t>vyšší úrovni než v předchozím roce. Nárůst není významný a je dán zejména rychlejším růstem zejména osobních nákladů krytých příspěvkem. Tento drobný nárůst neznamená, že příspěvkové organizace nezlepšují vlastní výkonnost. S přihlédnutím ke specifikům resortu je výsledek nutno hodnotit jako dorovnání platové úrovně bez dopadů na produktivitu. Dosažený poměr profinancování provozních nákladů organizací příspěvkem zřizovatele činí 68,4</w:t>
      </w:r>
      <w:r w:rsidR="005C7315">
        <w:rPr>
          <w:rFonts w:ascii="Times New Roman" w:hAnsi="Times New Roman"/>
        </w:rPr>
        <w:t>4</w:t>
      </w:r>
      <w:r w:rsidRPr="00802023">
        <w:rPr>
          <w:rFonts w:ascii="Times New Roman" w:hAnsi="Times New Roman"/>
        </w:rPr>
        <w:t>%. Poměr osobních nákladů všech příspěvkových organizací k příspěvku poskytnutému zřizovatelem se meziročně snižuje o zhruba půl procentního bodu na 76,04%. Změny jsou zapříčiněny zejména vyšším podílem rozepsaných prostředků do</w:t>
      </w:r>
      <w:r w:rsidR="00C53C24">
        <w:rPr>
          <w:rFonts w:ascii="Times New Roman" w:hAnsi="Times New Roman"/>
        </w:rPr>
        <w:t> </w:t>
      </w:r>
      <w:r w:rsidRPr="00802023">
        <w:rPr>
          <w:rFonts w:ascii="Times New Roman" w:hAnsi="Times New Roman"/>
        </w:rPr>
        <w:t>rozpočtu jednotlivých organizací v meziročním srovnání. Osobní náklady včetně odvodů zaměstnavatele za</w:t>
      </w:r>
      <w:r w:rsidR="00C53C24">
        <w:rPr>
          <w:rFonts w:ascii="Times New Roman" w:hAnsi="Times New Roman"/>
        </w:rPr>
        <w:t> </w:t>
      </w:r>
      <w:r w:rsidRPr="00802023">
        <w:rPr>
          <w:rFonts w:ascii="Times New Roman" w:hAnsi="Times New Roman"/>
        </w:rPr>
        <w:t>zaměstnance jsou na úrovni 52,04% celkových nákladů. Cena práce se podílí největší měrou na hodnotě veřejné kulturní služby nabízené příspěvkovými organizacemi veřejnosti.</w:t>
      </w:r>
    </w:p>
    <w:p w14:paraId="5134780D" w14:textId="77777777" w:rsidR="00802023" w:rsidRPr="00802023" w:rsidRDefault="00802023" w:rsidP="00251E95">
      <w:pPr>
        <w:spacing w:before="120" w:after="240" w:line="240" w:lineRule="auto"/>
        <w:rPr>
          <w:rFonts w:ascii="Times New Roman" w:hAnsi="Times New Roman"/>
        </w:rPr>
      </w:pPr>
      <w:r w:rsidRPr="00802023">
        <w:rPr>
          <w:rFonts w:ascii="Times New Roman" w:hAnsi="Times New Roman"/>
        </w:rPr>
        <w:t xml:space="preserve">Hlavními složkami věcných nákladů v provozním hospodaření příspěvkových organizací zůstávají i nadále ostatní služby s podílem 19,41%, opravy a udržování s podílem 5,91% a odpisy dlouhodobého majetku s podílem 9,02%. Celkové náklady provozu příspěvkových organizací se meziročně zvyšují o 10,03%. Výrazný nárůst nákladů je zapříčiněn především </w:t>
      </w:r>
      <w:r w:rsidRPr="00802023">
        <w:rPr>
          <w:rFonts w:ascii="Times New Roman" w:hAnsi="Times New Roman"/>
        </w:rPr>
        <w:lastRenderedPageBreak/>
        <w:t>zvýšením platů zaměstnanců příspěvkových organizací zajištěným vládou i stabilizačním opatřením. Další důvody pro zvýšení celkových nákladů spočívají ve zprovoznění nových kapacit a povinnosti jejich provozování (tzv. udržitelnost). Tyto závazky nutí organizace k dodatečnému navyšování nákladů z důvodu dodržení podmínek přijatých dotací v rámci programů spolufinancovaných z finančních mechanismů. Nárůst celkových nákladů se rovnoměrně promítá do všech nákladových druhů s výjimkou osobních nákladů, které jsou limitovány ze strany Ministerstva financí, přestože by organizace plánovaným růstem výnosu z vlastní činnosti pokryly i vyšší tempo nárůstu osobních nákladů.</w:t>
      </w:r>
    </w:p>
    <w:p w14:paraId="5134780E" w14:textId="77777777" w:rsidR="00802023" w:rsidRPr="00F86015" w:rsidRDefault="00251E95" w:rsidP="00802023">
      <w:pPr>
        <w:pStyle w:val="Zhlav"/>
        <w:spacing w:before="120"/>
        <w:rPr>
          <w:rFonts w:ascii="Times New Roman" w:hAnsi="Times New Roman"/>
        </w:rPr>
      </w:pPr>
      <w:r w:rsidRPr="00251E95">
        <w:rPr>
          <w:noProof/>
        </w:rPr>
        <w:drawing>
          <wp:inline distT="0" distB="0" distL="0" distR="0" wp14:anchorId="51347FBB" wp14:editId="51347FBC">
            <wp:extent cx="5759450" cy="274905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749053"/>
                    </a:xfrm>
                    <a:prstGeom prst="rect">
                      <a:avLst/>
                    </a:prstGeom>
                    <a:noFill/>
                    <a:ln>
                      <a:noFill/>
                    </a:ln>
                  </pic:spPr>
                </pic:pic>
              </a:graphicData>
            </a:graphic>
          </wp:inline>
        </w:drawing>
      </w:r>
    </w:p>
    <w:p w14:paraId="5134780F" w14:textId="77777777" w:rsidR="00802023" w:rsidRPr="00D2597E" w:rsidRDefault="00802023" w:rsidP="00802023">
      <w:pPr>
        <w:spacing w:line="240" w:lineRule="auto"/>
        <w:ind w:left="284"/>
        <w:jc w:val="right"/>
        <w:rPr>
          <w:sz w:val="20"/>
        </w:rPr>
      </w:pPr>
      <w:r w:rsidRPr="00D2597E">
        <w:rPr>
          <w:sz w:val="20"/>
        </w:rPr>
        <w:t>údaje uvedeny v tis. Kč</w:t>
      </w:r>
    </w:p>
    <w:p w14:paraId="51347810" w14:textId="77777777" w:rsidR="00802023" w:rsidRPr="00802023" w:rsidRDefault="00802023" w:rsidP="00802023">
      <w:pPr>
        <w:spacing w:before="120" w:line="240" w:lineRule="auto"/>
        <w:rPr>
          <w:rFonts w:ascii="Times New Roman" w:hAnsi="Times New Roman"/>
        </w:rPr>
      </w:pPr>
      <w:r w:rsidRPr="00802023">
        <w:rPr>
          <w:rFonts w:ascii="Times New Roman" w:hAnsi="Times New Roman"/>
        </w:rPr>
        <w:t>V</w:t>
      </w:r>
      <w:r w:rsidR="00C53C24">
        <w:rPr>
          <w:rFonts w:ascii="Times New Roman" w:hAnsi="Times New Roman"/>
        </w:rPr>
        <w:t>e</w:t>
      </w:r>
      <w:r w:rsidRPr="00802023">
        <w:rPr>
          <w:rFonts w:ascii="Times New Roman" w:hAnsi="Times New Roman"/>
        </w:rPr>
        <w:t> výši rozepsaného příspěvku jsou zohledněny běžné provozní náklady organizací, částečně i náklady spojené s provozem nově vybudovaných kapacit včetně nákladů spojených s povinnou udržitelností, náklady na zajištění činností příspěvkových organizací vyplývajících ze zřizovacích listin a dalších požadavků zřizovatele. Osobní náklady organizací jsou s výjimkou Památníku Terezín kryté v plném rozsahu mzdových nákladů a zákonných odvodů. V případě uvedené organizace jsou kryté pouze mzdové náklady a organizace částečně osobní náklady kryje vlastními výnosy. Při sestavování rozpočtů jednotlivým příspěvkovým organizacím bylo ve výsledné výši příspěvku na provoz zohledněno zapojení fondů, schopnost tvorby vlastních výnosů, mimořádné dopady na výnosové i nákladové straně jejich hospodaření (zejména vliv odpisů).</w:t>
      </w:r>
    </w:p>
    <w:p w14:paraId="51347811" w14:textId="77777777" w:rsidR="00802023" w:rsidRDefault="00802023" w:rsidP="00802023">
      <w:pPr>
        <w:spacing w:before="120" w:line="240" w:lineRule="auto"/>
        <w:rPr>
          <w:rFonts w:ascii="Times New Roman" w:hAnsi="Times New Roman"/>
        </w:rPr>
      </w:pPr>
      <w:r w:rsidRPr="00802023">
        <w:rPr>
          <w:rFonts w:ascii="Times New Roman" w:hAnsi="Times New Roman"/>
        </w:rPr>
        <w:t xml:space="preserve">Nekrytí odůvodněných nezbytných potřeb příspěvkových organizací v plném rozsahu příspěvkem na provoz může v konečném důsledku způsobit omezení rozsahu vykonávaných odborných činností, vyplývajících z platných právních předpisů (zákon č. 20/1987 Sb., </w:t>
      </w:r>
      <w:r w:rsidRPr="00802023">
        <w:rPr>
          <w:rFonts w:ascii="Times New Roman" w:hAnsi="Times New Roman"/>
          <w:highlight w:val="yellow"/>
        </w:rPr>
        <w:br/>
      </w:r>
      <w:r w:rsidRPr="00802023">
        <w:rPr>
          <w:rFonts w:ascii="Times New Roman" w:hAnsi="Times New Roman"/>
        </w:rPr>
        <w:t xml:space="preserve">o státní památkové péči, zákon č. 257/2001 Sb., o knihovnách a podmínkách provozování veřejných knihovnických a informačních služeb, zákon č. 122/2000 Sb., o ochraně sbírek muzejní povahy), omezení výstavních činností, utlumení akvizic sbírkových předmětů </w:t>
      </w:r>
      <w:r w:rsidRPr="00802023">
        <w:rPr>
          <w:rFonts w:ascii="Times New Roman" w:hAnsi="Times New Roman"/>
          <w:highlight w:val="yellow"/>
        </w:rPr>
        <w:br/>
      </w:r>
      <w:r w:rsidRPr="00802023">
        <w:rPr>
          <w:rFonts w:ascii="Times New Roman" w:hAnsi="Times New Roman"/>
        </w:rPr>
        <w:t xml:space="preserve">a knihovních fondů, snížení rozsahu publikační a konzultační činnosti. Kromě uvedených negativních dopadů, vyplývajících z nedostatečného krytí potřeb příspěvkem zřizovatele, je třeba vzít v úvahu i efekt, že omezení činností organizací vyvolává i snížení výnosů vyplývající ze snížení návštěvnosti, ať už se jedná o muzea, galerie, památkové objekty, hudební soubory či knihovny. </w:t>
      </w:r>
    </w:p>
    <w:p w14:paraId="51347812" w14:textId="77777777" w:rsidR="00251E95" w:rsidRPr="00802023" w:rsidRDefault="00251E95" w:rsidP="00802023">
      <w:pPr>
        <w:spacing w:before="120" w:line="240" w:lineRule="auto"/>
        <w:rPr>
          <w:rFonts w:ascii="Times New Roman" w:hAnsi="Times New Roman"/>
        </w:rPr>
      </w:pPr>
    </w:p>
    <w:p w14:paraId="51347813" w14:textId="77777777" w:rsidR="00802023" w:rsidRPr="00802023" w:rsidRDefault="00802023" w:rsidP="00802023">
      <w:pPr>
        <w:spacing w:before="120" w:line="240" w:lineRule="auto"/>
        <w:rPr>
          <w:rFonts w:ascii="Times New Roman" w:hAnsi="Times New Roman"/>
        </w:rPr>
      </w:pPr>
      <w:r w:rsidRPr="00802023">
        <w:rPr>
          <w:rFonts w:ascii="Times New Roman" w:hAnsi="Times New Roman"/>
        </w:rPr>
        <w:t>Zvýšení rozepsaného příspěvku na provoz od zřizovatele bylo ve srovnání se schváleným rozpočtem 2015 realizováno jak z navýšení příspěvku v rámci výdajů kapitoly tak k tíži nerozepsaného příspěvku. Tímto přístupem se zřizovatel snaží vytvořit podmínky pro zlepšení prosperity a podpořit schopnosti organizací generovat vlastní výnosy z realizovaných projektů a dodatečného nárůstu veřejné kulturní služby.</w:t>
      </w:r>
    </w:p>
    <w:p w14:paraId="51347814" w14:textId="77777777" w:rsidR="00802023" w:rsidRPr="00802023" w:rsidRDefault="00802023" w:rsidP="00802023">
      <w:pPr>
        <w:spacing w:before="120" w:line="240" w:lineRule="auto"/>
        <w:rPr>
          <w:rFonts w:ascii="Times New Roman" w:hAnsi="Times New Roman"/>
        </w:rPr>
      </w:pPr>
      <w:r w:rsidRPr="00802023">
        <w:rPr>
          <w:rFonts w:ascii="Times New Roman" w:hAnsi="Times New Roman"/>
        </w:rPr>
        <w:t>Nadpožadavky v oblasti věcných nákladů organizací nebyly uplatněny. Důvodem bylo stanovení primárního cíle v   navýšení platů zaměstnanců příspěvkových organizací. Nízká platová úroveň je dlouhodobě hodnocena jako hlavní faktor limitující objem produkované kulturní služby i celkový výkon organizací. Ministerstvo kultury předpokládá, že dodatečné navýšení věcných nákladů by vedle navýšení platů v organizacích bylo méně efektivní a proto považuje v souladu s ekonomickou teorií za prioritní zajistit posílení nejslabšího faktoru omezujícího růst.</w:t>
      </w:r>
    </w:p>
    <w:p w14:paraId="51347815" w14:textId="77777777" w:rsidR="00802023" w:rsidRPr="00802023" w:rsidRDefault="00802023" w:rsidP="00802023">
      <w:pPr>
        <w:spacing w:before="120" w:line="240" w:lineRule="auto"/>
        <w:rPr>
          <w:rFonts w:ascii="Times New Roman" w:hAnsi="Times New Roman"/>
          <w:u w:val="single"/>
        </w:rPr>
      </w:pPr>
      <w:r w:rsidRPr="00802023">
        <w:rPr>
          <w:rFonts w:ascii="Times New Roman" w:hAnsi="Times New Roman"/>
          <w:u w:val="single"/>
        </w:rPr>
        <w:t>Provozní příspěvek rozpočtovaný na úrovn</w:t>
      </w:r>
      <w:r w:rsidR="00C53C24">
        <w:rPr>
          <w:rFonts w:ascii="Times New Roman" w:hAnsi="Times New Roman"/>
          <w:u w:val="single"/>
        </w:rPr>
        <w:t>i</w:t>
      </w:r>
      <w:r w:rsidRPr="00802023">
        <w:rPr>
          <w:rFonts w:ascii="Times New Roman" w:hAnsi="Times New Roman"/>
          <w:u w:val="single"/>
        </w:rPr>
        <w:t xml:space="preserve"> kapitoly</w:t>
      </w:r>
      <w:r w:rsidRPr="00802023">
        <w:rPr>
          <w:rFonts w:ascii="Times New Roman" w:hAnsi="Times New Roman"/>
          <w:u w:val="single"/>
        </w:rPr>
        <w:tab/>
      </w:r>
      <w:r w:rsidRPr="00802023">
        <w:rPr>
          <w:rFonts w:ascii="Times New Roman" w:hAnsi="Times New Roman"/>
          <w:u w:val="single"/>
        </w:rPr>
        <w:tab/>
      </w:r>
      <w:r w:rsidRPr="00802023">
        <w:rPr>
          <w:rFonts w:ascii="Times New Roman" w:hAnsi="Times New Roman"/>
          <w:u w:val="single"/>
        </w:rPr>
        <w:tab/>
        <w:t>       115 71</w:t>
      </w:r>
      <w:r w:rsidR="00047798">
        <w:rPr>
          <w:rFonts w:ascii="Times New Roman" w:hAnsi="Times New Roman"/>
          <w:u w:val="single"/>
        </w:rPr>
        <w:t>6</w:t>
      </w:r>
      <w:r w:rsidRPr="00802023">
        <w:rPr>
          <w:rFonts w:ascii="Times New Roman" w:hAnsi="Times New Roman"/>
          <w:u w:val="single"/>
        </w:rPr>
        <w:t> </w:t>
      </w:r>
      <w:r w:rsidR="00047798">
        <w:rPr>
          <w:rFonts w:ascii="Times New Roman" w:hAnsi="Times New Roman"/>
          <w:u w:val="single"/>
        </w:rPr>
        <w:t>3</w:t>
      </w:r>
      <w:r w:rsidRPr="00802023">
        <w:rPr>
          <w:rFonts w:ascii="Times New Roman" w:hAnsi="Times New Roman"/>
          <w:u w:val="single"/>
        </w:rPr>
        <w:t>9</w:t>
      </w:r>
      <w:r w:rsidR="00047798">
        <w:rPr>
          <w:rFonts w:ascii="Times New Roman" w:hAnsi="Times New Roman"/>
          <w:u w:val="single"/>
        </w:rPr>
        <w:t>8</w:t>
      </w:r>
      <w:r w:rsidRPr="00802023">
        <w:rPr>
          <w:rFonts w:ascii="Times New Roman" w:hAnsi="Times New Roman"/>
          <w:u w:val="single"/>
        </w:rPr>
        <w:t> Kč</w:t>
      </w:r>
    </w:p>
    <w:p w14:paraId="51347816" w14:textId="77777777" w:rsidR="00802023" w:rsidRPr="00802023" w:rsidRDefault="00802023" w:rsidP="00802023">
      <w:pPr>
        <w:spacing w:before="120" w:line="240" w:lineRule="auto"/>
        <w:rPr>
          <w:rFonts w:ascii="Times New Roman" w:hAnsi="Times New Roman"/>
        </w:rPr>
      </w:pPr>
      <w:r w:rsidRPr="00802023">
        <w:rPr>
          <w:rFonts w:ascii="Times New Roman" w:hAnsi="Times New Roman"/>
        </w:rPr>
        <w:t xml:space="preserve">Objem prostředků ve výdajovém okruhu příspěvek na provoz příspěvkových organizací rozpočtovaný na úrovni kapitoly (tj. k datu nerozepsaný příspěvek) v objemu 115 716 tis. Kč představuje 3,33% celkového příspěvku, což je ve srovnání s rokem 2015, kdy nebylo rozepsáno 5,32% příspěvku do schváleného rozpočtu organizací výrazný pokles. </w:t>
      </w:r>
    </w:p>
    <w:p w14:paraId="51347817" w14:textId="77777777" w:rsidR="00802023" w:rsidRPr="00802023" w:rsidRDefault="00802023" w:rsidP="00802023">
      <w:pPr>
        <w:spacing w:before="120" w:line="240" w:lineRule="auto"/>
        <w:rPr>
          <w:rFonts w:ascii="Times New Roman" w:hAnsi="Times New Roman"/>
        </w:rPr>
      </w:pPr>
      <w:r w:rsidRPr="00802023">
        <w:rPr>
          <w:rFonts w:ascii="Times New Roman" w:hAnsi="Times New Roman"/>
        </w:rPr>
        <w:t xml:space="preserve">Jedná se o část příspěvku na provoz, která nebyla zřizovatelem rozepsána do rozpočtů jednotlivých organizací přímo, ale je rozpočtována pro krytí potřeb všech organizací jako společný zdroj financování potřeb na úrovni kapitoly. Ve srovnání se schváleným rozpočtem pro rok 2015 je objem nerozepsaných prostředků ponechaných pro rok 2016 nižší </w:t>
      </w:r>
      <w:r w:rsidRPr="00802023">
        <w:rPr>
          <w:rFonts w:ascii="Times New Roman" w:hAnsi="Times New Roman"/>
          <w:highlight w:val="yellow"/>
        </w:rPr>
        <w:br/>
      </w:r>
      <w:r w:rsidRPr="00802023">
        <w:rPr>
          <w:rFonts w:ascii="Times New Roman" w:hAnsi="Times New Roman"/>
        </w:rPr>
        <w:t>o 56 485 tis. Kč. V nerozepsaných prostředcích jsou rozpočtovány výdaje, jejichž účel je znám, ale není známá jejich přesná výše. Jedná se například o platby autorským svazům za</w:t>
      </w:r>
      <w:r w:rsidR="00047798">
        <w:rPr>
          <w:rFonts w:ascii="Times New Roman" w:hAnsi="Times New Roman"/>
        </w:rPr>
        <w:t> </w:t>
      </w:r>
      <w:r w:rsidRPr="00802023">
        <w:rPr>
          <w:rFonts w:ascii="Times New Roman" w:hAnsi="Times New Roman"/>
        </w:rPr>
        <w:t xml:space="preserve">užití autorských děl v knihovnách, které patří ČR. Dále se v této položce rozpočtují výdaje vázané na odvody z prodeje majetku (15 623 tis. Kč), výdaje na krytí udržení rozpočtové základny organizací nebo výpadků příjmů (21 962 tis. Kč) očekávaných v roce 2016 např. v důsledku rekonstrukce Státní opery nebo omezení návštěvnického provozu SHZ z důvodu odstraňování havarijních stavů a dále výdaje na krytí nákladů nových kapacit (7 000 tis. Kč), prostředky určené na krytí nepředvídaných a neplánovaných nákladů a výdaje na úhradu ztrát hospodaření organizací v předchozích letech (4 865 tis. Kč). Nerozepsané prostředky zahrnují také výdaje v předpokládané výši 26 500 tis. Kč, které jsou určeny na úhradu odměn autorům za půjčování v knihovnách České republiky. Tuto povinnost ukládá Národní knihovně ČR zákon č. 216/2006 Sb. o změně autorského zákona a knihovní zákon č. 257/2001 Sb. Finanční objem těchto úhrad upřesní Národní knihovna ČR během června 2016 v souladu s výsledky statistických zjišťování o počtu výpůjček v knihovnách. Následně bude ve prospěch Národní knihovny provedena ministerstvem úprava rozpočtu dle skutečně zjištěné výše poplatků </w:t>
      </w:r>
      <w:r w:rsidRPr="00802023">
        <w:rPr>
          <w:rFonts w:ascii="Times New Roman" w:hAnsi="Times New Roman"/>
          <w:highlight w:val="yellow"/>
        </w:rPr>
        <w:br/>
      </w:r>
      <w:r w:rsidRPr="00802023">
        <w:rPr>
          <w:rFonts w:ascii="Times New Roman" w:hAnsi="Times New Roman"/>
        </w:rPr>
        <w:t>na vrub nerozepsaných výdajů ukazatele Příspěvek na provoz příspěvkových organizací.</w:t>
      </w:r>
    </w:p>
    <w:p w14:paraId="51347818" w14:textId="77777777" w:rsidR="00802023" w:rsidRDefault="00802023" w:rsidP="00802023">
      <w:pPr>
        <w:spacing w:before="120" w:line="240" w:lineRule="auto"/>
        <w:rPr>
          <w:rFonts w:ascii="Times New Roman" w:hAnsi="Times New Roman"/>
        </w:rPr>
      </w:pPr>
      <w:r w:rsidRPr="00802023">
        <w:rPr>
          <w:rFonts w:ascii="Times New Roman" w:hAnsi="Times New Roman"/>
        </w:rPr>
        <w:t>Rozpočtované a nerozepsané prostředky v celkovém objemu 42 580 tis. Kč jsou vázány na</w:t>
      </w:r>
      <w:r w:rsidR="00047798">
        <w:rPr>
          <w:rFonts w:ascii="Times New Roman" w:hAnsi="Times New Roman"/>
        </w:rPr>
        <w:t> </w:t>
      </w:r>
      <w:r w:rsidRPr="00802023">
        <w:rPr>
          <w:rFonts w:ascii="Times New Roman" w:hAnsi="Times New Roman"/>
        </w:rPr>
        <w:t xml:space="preserve">dosažení příjmů z prodeje nemovitého státního majetku, s nímž jsou příspěvkové organizace příslušné hospodařit. V rámci běhů při sestavování rozpočtu bylo pro rok 2016 uplatněno souvztažné navýšení příjmů a výdajů ve výši 34 429 tis. Kč (z toho z důvodu zvýšení prodeje majetku o 26 955 tis. Kč a z důvodů zvýšení odpisů o 7 474 tis. Kč). </w:t>
      </w:r>
    </w:p>
    <w:p w14:paraId="51347819" w14:textId="77777777" w:rsidR="00750E3B" w:rsidRDefault="00750E3B" w:rsidP="00802023">
      <w:pPr>
        <w:spacing w:before="120" w:line="240" w:lineRule="auto"/>
        <w:rPr>
          <w:rFonts w:ascii="Times New Roman" w:hAnsi="Times New Roman"/>
        </w:rPr>
      </w:pPr>
    </w:p>
    <w:p w14:paraId="5134781A" w14:textId="77777777" w:rsidR="00251E95" w:rsidRPr="00802023" w:rsidRDefault="00251E95" w:rsidP="00802023">
      <w:pPr>
        <w:spacing w:before="120" w:line="240" w:lineRule="auto"/>
        <w:rPr>
          <w:rFonts w:ascii="Times New Roman" w:hAnsi="Times New Roman"/>
        </w:rPr>
      </w:pPr>
    </w:p>
    <w:p w14:paraId="5134781B" w14:textId="77777777" w:rsidR="00802023" w:rsidRPr="00802023" w:rsidRDefault="00802023" w:rsidP="00802023">
      <w:pPr>
        <w:spacing w:before="120" w:line="240" w:lineRule="auto"/>
        <w:rPr>
          <w:rFonts w:ascii="Times New Roman" w:hAnsi="Times New Roman"/>
          <w:u w:val="single"/>
        </w:rPr>
      </w:pPr>
      <w:r w:rsidRPr="00802023">
        <w:rPr>
          <w:rFonts w:ascii="Times New Roman" w:hAnsi="Times New Roman"/>
          <w:u w:val="single"/>
        </w:rPr>
        <w:lastRenderedPageBreak/>
        <w:t>Ostatní příspěvky a dotace</w:t>
      </w:r>
      <w:r w:rsidRPr="00802023">
        <w:rPr>
          <w:rFonts w:ascii="Times New Roman" w:hAnsi="Times New Roman"/>
          <w:u w:val="single"/>
        </w:rPr>
        <w:tab/>
      </w:r>
      <w:r w:rsidRPr="00802023">
        <w:rPr>
          <w:rFonts w:ascii="Times New Roman" w:hAnsi="Times New Roman"/>
          <w:u w:val="single"/>
        </w:rPr>
        <w:tab/>
      </w:r>
      <w:r w:rsidRPr="00802023">
        <w:rPr>
          <w:rFonts w:ascii="Times New Roman" w:hAnsi="Times New Roman"/>
          <w:u w:val="single"/>
        </w:rPr>
        <w:tab/>
      </w:r>
      <w:r w:rsidRPr="00802023">
        <w:rPr>
          <w:rFonts w:ascii="Times New Roman" w:hAnsi="Times New Roman"/>
          <w:u w:val="single"/>
        </w:rPr>
        <w:tab/>
      </w:r>
      <w:r w:rsidRPr="00802023">
        <w:rPr>
          <w:rFonts w:ascii="Times New Roman" w:hAnsi="Times New Roman"/>
          <w:u w:val="single"/>
        </w:rPr>
        <w:tab/>
      </w:r>
      <w:r w:rsidRPr="00802023">
        <w:rPr>
          <w:rFonts w:ascii="Times New Roman" w:hAnsi="Times New Roman"/>
          <w:u w:val="single"/>
        </w:rPr>
        <w:tab/>
      </w:r>
      <w:r w:rsidRPr="00802023">
        <w:rPr>
          <w:rFonts w:ascii="Times New Roman" w:hAnsi="Times New Roman"/>
          <w:u w:val="single"/>
        </w:rPr>
        <w:tab/>
        <w:t>         66 272 113 Kč</w:t>
      </w:r>
    </w:p>
    <w:p w14:paraId="5134781C" w14:textId="77777777" w:rsidR="00802023" w:rsidRPr="00802023" w:rsidRDefault="00802023" w:rsidP="00802023">
      <w:pPr>
        <w:spacing w:before="120" w:line="240" w:lineRule="auto"/>
        <w:rPr>
          <w:rFonts w:ascii="Times New Roman" w:hAnsi="Times New Roman"/>
        </w:rPr>
      </w:pPr>
      <w:r w:rsidRPr="00802023">
        <w:rPr>
          <w:rFonts w:ascii="Times New Roman" w:hAnsi="Times New Roman"/>
        </w:rPr>
        <w:t>Celkem v rozpočtu plánují příspěvkové organizace zapojit mimorozpočtové zdroje v celkovém objemu 66 272 tis. Kč. Mimorozpočtové zdroje tvoří zejména příspěvky jiných veřejných rozpočtů především územně samosprávných celků, dále dary a prostředky poskytnuté organizacím ze zahraničí a časové rozlišení odpisů. Příspěvkové organizace zapojily v návrhu rozpočtu mimorozpočtové zdroje z titulu ostatních příspěvků a dotací v následujícím členění:</w:t>
      </w:r>
    </w:p>
    <w:p w14:paraId="5134781D" w14:textId="77777777" w:rsidR="00802023" w:rsidRPr="00802023" w:rsidRDefault="00802023" w:rsidP="00802023">
      <w:pPr>
        <w:numPr>
          <w:ilvl w:val="0"/>
          <w:numId w:val="22"/>
        </w:numPr>
        <w:spacing w:line="240" w:lineRule="auto"/>
        <w:ind w:left="714" w:hanging="357"/>
        <w:rPr>
          <w:rFonts w:ascii="Times New Roman" w:hAnsi="Times New Roman"/>
        </w:rPr>
      </w:pPr>
      <w:r w:rsidRPr="00802023">
        <w:rPr>
          <w:rFonts w:ascii="Times New Roman" w:hAnsi="Times New Roman"/>
        </w:rPr>
        <w:t>dary uložené v RF popř. smluvně zajištěné</w:t>
      </w:r>
    </w:p>
    <w:p w14:paraId="5134781E" w14:textId="77777777" w:rsidR="00802023" w:rsidRPr="00802023" w:rsidRDefault="00802023" w:rsidP="00802023">
      <w:pPr>
        <w:numPr>
          <w:ilvl w:val="0"/>
          <w:numId w:val="22"/>
        </w:numPr>
        <w:spacing w:line="240" w:lineRule="auto"/>
        <w:ind w:left="714" w:hanging="357"/>
        <w:rPr>
          <w:rFonts w:ascii="Times New Roman" w:hAnsi="Times New Roman"/>
        </w:rPr>
      </w:pPr>
      <w:r w:rsidRPr="00802023">
        <w:rPr>
          <w:rFonts w:ascii="Times New Roman" w:hAnsi="Times New Roman"/>
        </w:rPr>
        <w:t>prostředky ze zahraničí uložené v RF</w:t>
      </w:r>
    </w:p>
    <w:p w14:paraId="5134781F" w14:textId="77777777" w:rsidR="00802023" w:rsidRPr="00802023" w:rsidRDefault="00802023" w:rsidP="00802023">
      <w:pPr>
        <w:numPr>
          <w:ilvl w:val="0"/>
          <w:numId w:val="22"/>
        </w:numPr>
        <w:spacing w:line="240" w:lineRule="auto"/>
        <w:ind w:left="714" w:hanging="357"/>
        <w:rPr>
          <w:rFonts w:ascii="Times New Roman" w:hAnsi="Times New Roman"/>
        </w:rPr>
      </w:pPr>
      <w:r w:rsidRPr="00802023">
        <w:rPr>
          <w:rFonts w:ascii="Times New Roman" w:hAnsi="Times New Roman"/>
        </w:rPr>
        <w:t>prostředky od ÚSC smluvně zajištěné</w:t>
      </w:r>
    </w:p>
    <w:p w14:paraId="51347820" w14:textId="77777777" w:rsidR="00802023" w:rsidRPr="00802023" w:rsidRDefault="00802023" w:rsidP="00802023">
      <w:pPr>
        <w:numPr>
          <w:ilvl w:val="0"/>
          <w:numId w:val="22"/>
        </w:numPr>
        <w:spacing w:line="240" w:lineRule="auto"/>
        <w:ind w:left="714" w:hanging="357"/>
        <w:rPr>
          <w:rFonts w:ascii="Times New Roman" w:hAnsi="Times New Roman"/>
        </w:rPr>
      </w:pPr>
      <w:r w:rsidRPr="00802023">
        <w:rPr>
          <w:rFonts w:ascii="Times New Roman" w:hAnsi="Times New Roman"/>
        </w:rPr>
        <w:t>příspěvek od Státního zemědělského fondu</w:t>
      </w:r>
    </w:p>
    <w:p w14:paraId="51347821" w14:textId="77777777" w:rsidR="00802023" w:rsidRDefault="00802023" w:rsidP="00802023">
      <w:pPr>
        <w:numPr>
          <w:ilvl w:val="0"/>
          <w:numId w:val="22"/>
        </w:numPr>
        <w:spacing w:line="240" w:lineRule="auto"/>
        <w:ind w:left="714" w:hanging="357"/>
        <w:rPr>
          <w:rFonts w:ascii="Times New Roman" w:hAnsi="Times New Roman"/>
        </w:rPr>
      </w:pPr>
      <w:r w:rsidRPr="00802023">
        <w:rPr>
          <w:rFonts w:ascii="Times New Roman" w:hAnsi="Times New Roman"/>
        </w:rPr>
        <w:t>časové rozlišení odpisů používaného majetku</w:t>
      </w:r>
    </w:p>
    <w:p w14:paraId="51347822" w14:textId="77777777" w:rsidR="00047798" w:rsidRDefault="00047798" w:rsidP="00047798">
      <w:pPr>
        <w:spacing w:line="240" w:lineRule="auto"/>
        <w:rPr>
          <w:rFonts w:ascii="Times New Roman" w:hAnsi="Times New Roman"/>
        </w:rPr>
      </w:pPr>
    </w:p>
    <w:p w14:paraId="51347823" w14:textId="77777777" w:rsidR="00047798" w:rsidRPr="00802023" w:rsidRDefault="00047798" w:rsidP="00047798">
      <w:pPr>
        <w:spacing w:line="240" w:lineRule="auto"/>
        <w:rPr>
          <w:rFonts w:ascii="Times New Roman" w:hAnsi="Times New Roman"/>
        </w:rPr>
      </w:pPr>
    </w:p>
    <w:p w14:paraId="51347824" w14:textId="77777777" w:rsidR="007A48EF" w:rsidRPr="00D2597E" w:rsidRDefault="00251E95" w:rsidP="007A48EF">
      <w:pPr>
        <w:spacing w:before="120" w:line="240" w:lineRule="auto"/>
      </w:pPr>
      <w:r w:rsidRPr="00251E95">
        <w:rPr>
          <w:noProof/>
        </w:rPr>
        <w:drawing>
          <wp:inline distT="0" distB="0" distL="0" distR="0" wp14:anchorId="51347FBD" wp14:editId="51347FBE">
            <wp:extent cx="5759450" cy="757016"/>
            <wp:effectExtent l="0" t="0" r="0" b="508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757016"/>
                    </a:xfrm>
                    <a:prstGeom prst="rect">
                      <a:avLst/>
                    </a:prstGeom>
                    <a:noFill/>
                    <a:ln>
                      <a:noFill/>
                    </a:ln>
                  </pic:spPr>
                </pic:pic>
              </a:graphicData>
            </a:graphic>
          </wp:inline>
        </w:drawing>
      </w:r>
    </w:p>
    <w:p w14:paraId="51347825" w14:textId="77777777" w:rsidR="007A48EF" w:rsidRPr="00D2597E" w:rsidRDefault="007A48EF" w:rsidP="007A48EF">
      <w:pPr>
        <w:spacing w:line="240" w:lineRule="auto"/>
        <w:ind w:left="284"/>
        <w:jc w:val="right"/>
        <w:rPr>
          <w:sz w:val="20"/>
        </w:rPr>
      </w:pPr>
      <w:r w:rsidRPr="00D2597E">
        <w:rPr>
          <w:sz w:val="20"/>
        </w:rPr>
        <w:t>údaje uvedeny v tis. Kč</w:t>
      </w:r>
    </w:p>
    <w:p w14:paraId="51347826" w14:textId="77777777" w:rsidR="00047798" w:rsidRPr="00802023" w:rsidRDefault="00047798" w:rsidP="00047798">
      <w:pPr>
        <w:spacing w:before="120" w:line="240" w:lineRule="auto"/>
        <w:rPr>
          <w:rFonts w:ascii="Times New Roman" w:hAnsi="Times New Roman"/>
          <w:u w:val="single"/>
        </w:rPr>
      </w:pPr>
      <w:r w:rsidRPr="00802023">
        <w:rPr>
          <w:rFonts w:ascii="Times New Roman" w:hAnsi="Times New Roman"/>
          <w:u w:val="single"/>
        </w:rPr>
        <w:t>Rozpočtované zapojení peněžních fondů</w:t>
      </w:r>
      <w:r w:rsidRPr="00802023">
        <w:rPr>
          <w:rFonts w:ascii="Times New Roman" w:hAnsi="Times New Roman"/>
          <w:u w:val="single"/>
        </w:rPr>
        <w:tab/>
      </w:r>
      <w:r w:rsidRPr="00802023">
        <w:rPr>
          <w:rFonts w:ascii="Times New Roman" w:hAnsi="Times New Roman"/>
          <w:u w:val="single"/>
        </w:rPr>
        <w:tab/>
      </w:r>
      <w:r w:rsidRPr="00802023">
        <w:rPr>
          <w:rFonts w:ascii="Times New Roman" w:hAnsi="Times New Roman"/>
          <w:u w:val="single"/>
        </w:rPr>
        <w:tab/>
      </w:r>
      <w:r w:rsidRPr="00802023">
        <w:rPr>
          <w:rFonts w:ascii="Times New Roman" w:hAnsi="Times New Roman"/>
          <w:u w:val="single"/>
        </w:rPr>
        <w:tab/>
        <w:t>                 287 133 900 Kč</w:t>
      </w:r>
    </w:p>
    <w:p w14:paraId="51347827" w14:textId="77777777" w:rsidR="00047798" w:rsidRPr="00802023" w:rsidRDefault="00047798" w:rsidP="00047798">
      <w:pPr>
        <w:spacing w:before="120" w:line="240" w:lineRule="auto"/>
        <w:rPr>
          <w:rFonts w:ascii="Times New Roman" w:hAnsi="Times New Roman"/>
        </w:rPr>
      </w:pPr>
      <w:r w:rsidRPr="00802023">
        <w:rPr>
          <w:rFonts w:ascii="Times New Roman" w:hAnsi="Times New Roman"/>
        </w:rPr>
        <w:t>Významný vnitřní zdroj pro financování potřeb příspěvkových organizací představují jejich fondy. Fondy tvořené příspěvkovými organizacemi jsou kryté peněžními prostředky a slouží pro pořízení a obnovu dlouhodobého hmotného i nehmotného majetku a doplňkový zdroj financování provozu. V předchozích letech značně zesílilo zapojení fondů jako doplňkového zdroje financování provozních potřeb (opravy, servis, materiál určené na údržbu nemovitého majetku, z jehož odpisů je fond tvořen). Příspěvkové organizace plánují pro rok 2016 zapojení fondu reprodukce majetku do hospodaření v celkovém objemu 207 503 tis. Kč, což představuje v meziročním srovnání nárůst o 15,85 % a dále organizace plánují zapojení zdrojů rezervního fondu ve výši 79 631 tis. Kč, což představuje meziroční nárůst o 38,1</w:t>
      </w:r>
      <w:r>
        <w:rPr>
          <w:rFonts w:ascii="Times New Roman" w:hAnsi="Times New Roman"/>
        </w:rPr>
        <w:t>8</w:t>
      </w:r>
      <w:r w:rsidRPr="00802023">
        <w:rPr>
          <w:rFonts w:ascii="Times New Roman" w:hAnsi="Times New Roman"/>
        </w:rPr>
        <w:t xml:space="preserve"> %. </w:t>
      </w:r>
    </w:p>
    <w:p w14:paraId="51347828" w14:textId="77777777" w:rsidR="007A48EF" w:rsidRPr="007A48EF" w:rsidRDefault="007A48EF" w:rsidP="007A48EF">
      <w:pPr>
        <w:spacing w:before="120" w:line="240" w:lineRule="auto"/>
        <w:rPr>
          <w:rFonts w:ascii="Times New Roman" w:hAnsi="Times New Roman"/>
        </w:rPr>
      </w:pPr>
      <w:r w:rsidRPr="007A48EF">
        <w:rPr>
          <w:rFonts w:ascii="Times New Roman" w:hAnsi="Times New Roman"/>
        </w:rPr>
        <w:t xml:space="preserve">Významný nárůst zapojení fondů do rozpočtu umožnilo zlepšení finanční situace organizací v loňském roce a tvorba kladných hospodářských výsledků, ale také současně zvýšení objemu výdajů zřizovatele na investice (dokončené a odepisované investice jsou hlavním zdrojem tvorby fondů) a dále zvýšení objemu dotací a příspěvků jiných poskytovatelů (v případě víceletých projektů přecházejí obdržené prostředky do dalších let projektu prostřednictvím zůstatku rezervního fondu). </w:t>
      </w:r>
      <w:r w:rsidR="00047798">
        <w:rPr>
          <w:rFonts w:ascii="Times New Roman" w:hAnsi="Times New Roman"/>
        </w:rPr>
        <w:t>Z</w:t>
      </w:r>
      <w:r w:rsidRPr="007A48EF">
        <w:rPr>
          <w:rFonts w:ascii="Times New Roman" w:hAnsi="Times New Roman"/>
        </w:rPr>
        <w:t>výšení zapojení fondů umožnila také jejich předchozí akumulace na vyšší úroveň a předpokládáme, že se jedná o změnu trendu, který může pokračovat i v dalším roce až k dosažení stabilní hladiny.</w:t>
      </w:r>
    </w:p>
    <w:p w14:paraId="51347829" w14:textId="77777777" w:rsidR="007A48EF" w:rsidRPr="007A48EF" w:rsidRDefault="007A48EF" w:rsidP="007A48EF">
      <w:pPr>
        <w:spacing w:before="120" w:line="240" w:lineRule="auto"/>
        <w:rPr>
          <w:rFonts w:ascii="Times New Roman" w:hAnsi="Times New Roman"/>
          <w:u w:val="single"/>
        </w:rPr>
      </w:pPr>
      <w:r w:rsidRPr="007A48EF">
        <w:rPr>
          <w:rFonts w:ascii="Times New Roman" w:hAnsi="Times New Roman"/>
          <w:u w:val="single"/>
        </w:rPr>
        <w:t>Mzdové náklady příspěvkových organizací</w:t>
      </w:r>
      <w:r w:rsidRPr="007A48EF">
        <w:rPr>
          <w:rFonts w:ascii="Times New Roman" w:hAnsi="Times New Roman"/>
          <w:u w:val="single"/>
        </w:rPr>
        <w:tab/>
      </w:r>
      <w:r w:rsidRPr="007A48EF">
        <w:rPr>
          <w:rFonts w:ascii="Times New Roman" w:hAnsi="Times New Roman"/>
          <w:u w:val="single"/>
        </w:rPr>
        <w:tab/>
      </w:r>
      <w:r w:rsidRPr="007A48EF">
        <w:rPr>
          <w:rFonts w:ascii="Times New Roman" w:hAnsi="Times New Roman"/>
          <w:u w:val="single"/>
        </w:rPr>
        <w:tab/>
      </w:r>
      <w:r w:rsidRPr="007A48EF">
        <w:rPr>
          <w:rFonts w:ascii="Times New Roman" w:hAnsi="Times New Roman"/>
          <w:u w:val="single"/>
        </w:rPr>
        <w:tab/>
      </w:r>
      <w:r w:rsidRPr="007A48EF">
        <w:rPr>
          <w:rFonts w:ascii="Times New Roman" w:hAnsi="Times New Roman"/>
          <w:u w:val="single"/>
        </w:rPr>
        <w:tab/>
        <w:t>    1</w:t>
      </w:r>
      <w:r w:rsidR="00AF0D56">
        <w:rPr>
          <w:rFonts w:ascii="Times New Roman" w:hAnsi="Times New Roman"/>
          <w:u w:val="single"/>
        </w:rPr>
        <w:t> </w:t>
      </w:r>
      <w:r w:rsidRPr="007A48EF">
        <w:rPr>
          <w:rFonts w:ascii="Times New Roman" w:hAnsi="Times New Roman"/>
          <w:u w:val="single"/>
        </w:rPr>
        <w:t>937</w:t>
      </w:r>
      <w:r w:rsidR="00AF0D56" w:rsidRPr="00802023">
        <w:rPr>
          <w:rFonts w:ascii="Times New Roman" w:hAnsi="Times New Roman"/>
          <w:u w:val="single"/>
        </w:rPr>
        <w:t> </w:t>
      </w:r>
      <w:r w:rsidRPr="007A48EF">
        <w:rPr>
          <w:rFonts w:ascii="Times New Roman" w:hAnsi="Times New Roman"/>
          <w:u w:val="single"/>
        </w:rPr>
        <w:t>062 537 Kč</w:t>
      </w:r>
    </w:p>
    <w:p w14:paraId="5134782A" w14:textId="77777777" w:rsidR="007A48EF" w:rsidRDefault="007A48EF" w:rsidP="00654D99">
      <w:pPr>
        <w:spacing w:before="120" w:after="120" w:line="240" w:lineRule="auto"/>
        <w:rPr>
          <w:rFonts w:ascii="Times New Roman" w:hAnsi="Times New Roman"/>
        </w:rPr>
      </w:pPr>
      <w:r w:rsidRPr="007A48EF">
        <w:rPr>
          <w:rFonts w:ascii="Times New Roman" w:hAnsi="Times New Roman"/>
        </w:rPr>
        <w:t xml:space="preserve">V rámci stanoveného nepřekročitelného objemu výdajů kapitoly 334 Ministerstvo kultury je stanoven limit prostředků na mzdové náklady příspěvkových organizací ve výši </w:t>
      </w:r>
      <w:r w:rsidRPr="007A48EF">
        <w:rPr>
          <w:rFonts w:ascii="Times New Roman" w:hAnsi="Times New Roman"/>
          <w:highlight w:val="yellow"/>
        </w:rPr>
        <w:br/>
      </w:r>
      <w:r w:rsidRPr="007A48EF">
        <w:rPr>
          <w:rFonts w:ascii="Times New Roman" w:hAnsi="Times New Roman"/>
        </w:rPr>
        <w:t>1</w:t>
      </w:r>
      <w:r w:rsidR="00047798">
        <w:rPr>
          <w:rFonts w:ascii="Times New Roman" w:hAnsi="Times New Roman"/>
        </w:rPr>
        <w:t> </w:t>
      </w:r>
      <w:r w:rsidRPr="007A48EF">
        <w:rPr>
          <w:rFonts w:ascii="Times New Roman" w:hAnsi="Times New Roman"/>
        </w:rPr>
        <w:t>937</w:t>
      </w:r>
      <w:r w:rsidR="00047798">
        <w:rPr>
          <w:rFonts w:ascii="Times New Roman" w:hAnsi="Times New Roman"/>
        </w:rPr>
        <w:t> </w:t>
      </w:r>
      <w:r w:rsidRPr="007A48EF">
        <w:rPr>
          <w:rFonts w:ascii="Times New Roman" w:hAnsi="Times New Roman"/>
        </w:rPr>
        <w:t>062,5 tis. Kč. Přepočtený stav zaměstnanců příspěvkových organizací Ministerstva kultury v </w:t>
      </w:r>
      <w:r w:rsidR="00047798">
        <w:rPr>
          <w:rFonts w:ascii="Times New Roman" w:hAnsi="Times New Roman"/>
        </w:rPr>
        <w:t>r</w:t>
      </w:r>
      <w:r w:rsidRPr="007A48EF">
        <w:rPr>
          <w:rFonts w:ascii="Times New Roman" w:hAnsi="Times New Roman"/>
        </w:rPr>
        <w:t>ozpočtu pro rok 2016 je ve výši 6 492. Ve srovnání s rokem 2015 se přepočtený stav zaměstnanců nezměnil, ale proti roku 2014 je snížen o 364. Mzdové náklady jsou tvořeny výdaji na platy a výdaji na ostatní osobní náklady. Z těchto položek se financují náklady na</w:t>
      </w:r>
      <w:r w:rsidR="00047798">
        <w:rPr>
          <w:rFonts w:ascii="Times New Roman" w:hAnsi="Times New Roman"/>
        </w:rPr>
        <w:t> </w:t>
      </w:r>
      <w:r w:rsidRPr="007A48EF">
        <w:rPr>
          <w:rFonts w:ascii="Times New Roman" w:hAnsi="Times New Roman"/>
        </w:rPr>
        <w:t xml:space="preserve">zaměstnance příspěvkových organizací. Zaměstnanci příspěvkových organizací zejména </w:t>
      </w:r>
      <w:r w:rsidRPr="007A48EF">
        <w:rPr>
          <w:rFonts w:ascii="Times New Roman" w:hAnsi="Times New Roman"/>
        </w:rPr>
        <w:lastRenderedPageBreak/>
        <w:t>zajišťují povinnosti, které organizacím ukládají právní předpisy o</w:t>
      </w:r>
      <w:r w:rsidR="00047798">
        <w:rPr>
          <w:rFonts w:ascii="Times New Roman" w:hAnsi="Times New Roman"/>
        </w:rPr>
        <w:t> </w:t>
      </w:r>
      <w:r w:rsidRPr="007A48EF">
        <w:rPr>
          <w:rFonts w:ascii="Times New Roman" w:hAnsi="Times New Roman"/>
        </w:rPr>
        <w:t>hospodaření s majetkem České republiky, činnosti vyplývající ze zřizovacích listin v oborech působnosti jednotlivých organizací. Zaměstnanci organizací jsou nositeli kulturní služby, podílejí se na propagaci kultury v ČR, udržují národní kulturní památky a prezentují je</w:t>
      </w:r>
      <w:r>
        <w:rPr>
          <w:rFonts w:ascii="Times New Roman" w:hAnsi="Times New Roman"/>
        </w:rPr>
        <w:t xml:space="preserve"> </w:t>
      </w:r>
      <w:r w:rsidRPr="007A48EF">
        <w:rPr>
          <w:rFonts w:ascii="Times New Roman" w:hAnsi="Times New Roman"/>
        </w:rPr>
        <w:t>nejen českým, ale i zahraničním návštěvníkům. Jedná se o široké spektrum profesí uměleckých, nebo množství vysoce specializovaných odborníků z oborů jako například historie, výtvarné umění, biologie, režie, památková péče, archivnictví a digitalizace a mnoho dalších. Výdaje na platy jsou určené také na odměny pro průvodce na památkách, hradech</w:t>
      </w:r>
      <w:r w:rsidR="00251E95">
        <w:rPr>
          <w:rFonts w:ascii="Times New Roman" w:hAnsi="Times New Roman"/>
        </w:rPr>
        <w:t xml:space="preserve"> </w:t>
      </w:r>
      <w:r w:rsidRPr="007A48EF">
        <w:rPr>
          <w:rFonts w:ascii="Times New Roman" w:hAnsi="Times New Roman"/>
        </w:rPr>
        <w:t xml:space="preserve">a zámcích, dále pro restaurátory, kunsthistoriky, zahradníky nebo také hodináře a další odborné a vysoce kvalifikované specialisty, kteří v galeriích, muzeích a dalších kulturních zařízeních pečují o majetek České republiky s nevyčíslitelnou hodnotou. Významnou skupinou zaměstnanců resortu jsou herci, zpěváci a hráči </w:t>
      </w:r>
      <w:r w:rsidR="008D17C7">
        <w:rPr>
          <w:rFonts w:ascii="Times New Roman" w:hAnsi="Times New Roman"/>
        </w:rPr>
        <w:t xml:space="preserve">orchestrů </w:t>
      </w:r>
      <w:r w:rsidRPr="007A48EF">
        <w:rPr>
          <w:rFonts w:ascii="Times New Roman" w:hAnsi="Times New Roman"/>
        </w:rPr>
        <w:t>divadel, symfonických orchestrů a sborů, kteří zcela jistě obstojí i ve</w:t>
      </w:r>
      <w:r w:rsidR="00417ADE">
        <w:rPr>
          <w:rFonts w:ascii="Times New Roman" w:hAnsi="Times New Roman"/>
        </w:rPr>
        <w:t> </w:t>
      </w:r>
      <w:r w:rsidRPr="007A48EF">
        <w:rPr>
          <w:rFonts w:ascii="Times New Roman" w:hAnsi="Times New Roman"/>
        </w:rPr>
        <w:t>srovnání se světem a proto reprezentují Českou republiku jak doma tak v zahraničí. Rozpisem směrných čísel Ministerstva financí na rok 2016 byl stanoven rozpoč</w:t>
      </w:r>
      <w:r w:rsidR="00047798">
        <w:rPr>
          <w:rFonts w:ascii="Times New Roman" w:hAnsi="Times New Roman"/>
        </w:rPr>
        <w:t>e</w:t>
      </w:r>
      <w:r w:rsidRPr="007A48EF">
        <w:rPr>
          <w:rFonts w:ascii="Times New Roman" w:hAnsi="Times New Roman"/>
        </w:rPr>
        <w:t>t v oblasti osobních nákladů zaměstnanců příspěvkových organizací takto:</w:t>
      </w:r>
    </w:p>
    <w:tbl>
      <w:tblPr>
        <w:tblW w:w="9072" w:type="dxa"/>
        <w:tblInd w:w="70" w:type="dxa"/>
        <w:tblLayout w:type="fixed"/>
        <w:tblCellMar>
          <w:left w:w="70" w:type="dxa"/>
          <w:right w:w="70" w:type="dxa"/>
        </w:tblCellMar>
        <w:tblLook w:val="04A0" w:firstRow="1" w:lastRow="0" w:firstColumn="1" w:lastColumn="0" w:noHBand="0" w:noVBand="1"/>
      </w:tblPr>
      <w:tblGrid>
        <w:gridCol w:w="4962"/>
        <w:gridCol w:w="2268"/>
        <w:gridCol w:w="1842"/>
      </w:tblGrid>
      <w:tr w:rsidR="007A48EF" w:rsidRPr="00D2597E" w14:paraId="5134782E" w14:textId="77777777" w:rsidTr="00310E28">
        <w:trPr>
          <w:trHeight w:val="315"/>
        </w:trPr>
        <w:tc>
          <w:tcPr>
            <w:tcW w:w="496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5134782B" w14:textId="77777777" w:rsidR="007A48EF" w:rsidRPr="00D2597E" w:rsidRDefault="007A48EF" w:rsidP="00310E28">
            <w:pPr>
              <w:jc w:val="center"/>
              <w:rPr>
                <w:rFonts w:cs="Arial"/>
                <w:b/>
              </w:rPr>
            </w:pPr>
            <w:r w:rsidRPr="00D2597E">
              <w:rPr>
                <w:rFonts w:cs="Arial"/>
                <w:b/>
              </w:rPr>
              <w:t>Mzdové náklady příspěvkových organizací</w:t>
            </w:r>
          </w:p>
        </w:tc>
        <w:tc>
          <w:tcPr>
            <w:tcW w:w="2268" w:type="dxa"/>
            <w:tcBorders>
              <w:top w:val="single" w:sz="8" w:space="0" w:color="auto"/>
              <w:left w:val="nil"/>
              <w:bottom w:val="single" w:sz="4" w:space="0" w:color="auto"/>
              <w:right w:val="single" w:sz="8" w:space="0" w:color="auto"/>
            </w:tcBorders>
            <w:shd w:val="clear" w:color="auto" w:fill="auto"/>
            <w:noWrap/>
            <w:vAlign w:val="center"/>
          </w:tcPr>
          <w:p w14:paraId="5134782C" w14:textId="77777777" w:rsidR="007A48EF" w:rsidRPr="00D2597E" w:rsidRDefault="007A48EF" w:rsidP="00310E28">
            <w:pPr>
              <w:jc w:val="center"/>
              <w:rPr>
                <w:rFonts w:cs="Arial"/>
                <w:b/>
              </w:rPr>
            </w:pPr>
            <w:r w:rsidRPr="00D2597E">
              <w:rPr>
                <w:rFonts w:cs="Arial"/>
                <w:b/>
              </w:rPr>
              <w:t>SR 2015</w:t>
            </w:r>
          </w:p>
        </w:tc>
        <w:tc>
          <w:tcPr>
            <w:tcW w:w="1842" w:type="dxa"/>
            <w:tcBorders>
              <w:top w:val="single" w:sz="8" w:space="0" w:color="auto"/>
              <w:left w:val="nil"/>
              <w:bottom w:val="single" w:sz="4" w:space="0" w:color="auto"/>
              <w:right w:val="single" w:sz="8" w:space="0" w:color="auto"/>
            </w:tcBorders>
            <w:vAlign w:val="center"/>
          </w:tcPr>
          <w:p w14:paraId="5134782D" w14:textId="77777777" w:rsidR="007A48EF" w:rsidRPr="00D2597E" w:rsidRDefault="00047798" w:rsidP="00047798">
            <w:pPr>
              <w:jc w:val="center"/>
              <w:rPr>
                <w:rFonts w:cs="Arial"/>
                <w:b/>
              </w:rPr>
            </w:pPr>
            <w:r>
              <w:rPr>
                <w:rFonts w:cs="Arial"/>
                <w:b/>
              </w:rPr>
              <w:t>S</w:t>
            </w:r>
            <w:r w:rsidR="007A48EF" w:rsidRPr="00D2597E">
              <w:rPr>
                <w:rFonts w:cs="Arial"/>
                <w:b/>
              </w:rPr>
              <w:t>R 2016</w:t>
            </w:r>
          </w:p>
        </w:tc>
      </w:tr>
      <w:tr w:rsidR="007A48EF" w:rsidRPr="00D2597E" w14:paraId="51347832" w14:textId="77777777" w:rsidTr="00310E28">
        <w:trPr>
          <w:trHeight w:val="315"/>
        </w:trPr>
        <w:tc>
          <w:tcPr>
            <w:tcW w:w="496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34782F" w14:textId="77777777" w:rsidR="007A48EF" w:rsidRPr="00D2597E" w:rsidRDefault="007A48EF" w:rsidP="00310E28">
            <w:pPr>
              <w:rPr>
                <w:rFonts w:cs="Arial"/>
              </w:rPr>
            </w:pPr>
            <w:r w:rsidRPr="00D2597E">
              <w:rPr>
                <w:rFonts w:cs="Arial"/>
              </w:rPr>
              <w:t>limit prostředků na platy v Kč celkem</w:t>
            </w:r>
          </w:p>
        </w:tc>
        <w:tc>
          <w:tcPr>
            <w:tcW w:w="2268" w:type="dxa"/>
            <w:tcBorders>
              <w:top w:val="single" w:sz="8" w:space="0" w:color="auto"/>
              <w:left w:val="nil"/>
              <w:bottom w:val="single" w:sz="4" w:space="0" w:color="auto"/>
              <w:right w:val="single" w:sz="8" w:space="0" w:color="auto"/>
            </w:tcBorders>
            <w:shd w:val="clear" w:color="auto" w:fill="auto"/>
            <w:noWrap/>
            <w:vAlign w:val="center"/>
          </w:tcPr>
          <w:p w14:paraId="51347830" w14:textId="77777777" w:rsidR="007A48EF" w:rsidRPr="00D2597E" w:rsidRDefault="007A48EF" w:rsidP="00310E28">
            <w:pPr>
              <w:jc w:val="right"/>
              <w:rPr>
                <w:rFonts w:cs="Arial"/>
              </w:rPr>
            </w:pPr>
            <w:r w:rsidRPr="00D2597E">
              <w:rPr>
                <w:rFonts w:cs="Arial"/>
              </w:rPr>
              <w:t>1 722 838 959</w:t>
            </w:r>
          </w:p>
        </w:tc>
        <w:tc>
          <w:tcPr>
            <w:tcW w:w="1842" w:type="dxa"/>
            <w:tcBorders>
              <w:top w:val="single" w:sz="8" w:space="0" w:color="auto"/>
              <w:left w:val="nil"/>
              <w:bottom w:val="single" w:sz="4" w:space="0" w:color="auto"/>
              <w:right w:val="single" w:sz="8" w:space="0" w:color="auto"/>
            </w:tcBorders>
            <w:vAlign w:val="center"/>
          </w:tcPr>
          <w:p w14:paraId="51347831" w14:textId="77777777" w:rsidR="007A48EF" w:rsidRPr="00D2597E" w:rsidRDefault="007A48EF" w:rsidP="00310E28">
            <w:pPr>
              <w:jc w:val="right"/>
              <w:rPr>
                <w:rFonts w:cs="Arial"/>
              </w:rPr>
            </w:pPr>
            <w:r w:rsidRPr="00D2597E">
              <w:rPr>
                <w:rFonts w:cs="Arial"/>
              </w:rPr>
              <w:t>1 849 126 168</w:t>
            </w:r>
          </w:p>
        </w:tc>
      </w:tr>
      <w:tr w:rsidR="007A48EF" w:rsidRPr="00D2597E" w14:paraId="51347836" w14:textId="77777777" w:rsidTr="00310E28">
        <w:trPr>
          <w:trHeight w:val="315"/>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51347833" w14:textId="77777777" w:rsidR="007A48EF" w:rsidRPr="00D2597E" w:rsidRDefault="007A48EF" w:rsidP="00310E28">
            <w:pPr>
              <w:rPr>
                <w:rFonts w:cs="Arial"/>
              </w:rPr>
            </w:pPr>
            <w:r w:rsidRPr="00D2597E">
              <w:rPr>
                <w:rFonts w:cs="Arial"/>
              </w:rPr>
              <w:t>limit prostředků OON v Kč celkem</w:t>
            </w:r>
          </w:p>
        </w:tc>
        <w:tc>
          <w:tcPr>
            <w:tcW w:w="2268" w:type="dxa"/>
            <w:tcBorders>
              <w:top w:val="nil"/>
              <w:left w:val="nil"/>
              <w:bottom w:val="single" w:sz="4" w:space="0" w:color="auto"/>
              <w:right w:val="single" w:sz="8" w:space="0" w:color="auto"/>
            </w:tcBorders>
            <w:shd w:val="clear" w:color="auto" w:fill="auto"/>
            <w:noWrap/>
            <w:vAlign w:val="center"/>
          </w:tcPr>
          <w:p w14:paraId="51347834" w14:textId="77777777" w:rsidR="007A48EF" w:rsidRPr="00D2597E" w:rsidRDefault="007A48EF" w:rsidP="00310E28">
            <w:pPr>
              <w:jc w:val="right"/>
              <w:rPr>
                <w:rFonts w:cs="Arial"/>
              </w:rPr>
            </w:pPr>
            <w:r w:rsidRPr="00D2597E">
              <w:rPr>
                <w:rFonts w:cs="Arial"/>
              </w:rPr>
              <w:t>85 375 116</w:t>
            </w:r>
          </w:p>
        </w:tc>
        <w:tc>
          <w:tcPr>
            <w:tcW w:w="1842" w:type="dxa"/>
            <w:tcBorders>
              <w:top w:val="nil"/>
              <w:left w:val="nil"/>
              <w:bottom w:val="single" w:sz="4" w:space="0" w:color="auto"/>
              <w:right w:val="single" w:sz="8" w:space="0" w:color="auto"/>
            </w:tcBorders>
            <w:vAlign w:val="center"/>
          </w:tcPr>
          <w:p w14:paraId="51347835" w14:textId="77777777" w:rsidR="007A48EF" w:rsidRPr="00D2597E" w:rsidRDefault="007A48EF" w:rsidP="00310E28">
            <w:pPr>
              <w:jc w:val="right"/>
              <w:rPr>
                <w:rFonts w:cs="Arial"/>
              </w:rPr>
            </w:pPr>
            <w:r w:rsidRPr="00D2597E">
              <w:rPr>
                <w:rFonts w:cs="Arial"/>
              </w:rPr>
              <w:t>87 936 369</w:t>
            </w:r>
          </w:p>
        </w:tc>
      </w:tr>
      <w:tr w:rsidR="007A48EF" w:rsidRPr="00D2597E" w14:paraId="5134783A" w14:textId="77777777" w:rsidTr="00310E28">
        <w:trPr>
          <w:trHeight w:val="315"/>
        </w:trPr>
        <w:tc>
          <w:tcPr>
            <w:tcW w:w="4962" w:type="dxa"/>
            <w:tcBorders>
              <w:top w:val="nil"/>
              <w:left w:val="single" w:sz="8" w:space="0" w:color="auto"/>
              <w:bottom w:val="single" w:sz="4" w:space="0" w:color="auto"/>
              <w:right w:val="single" w:sz="4" w:space="0" w:color="auto"/>
            </w:tcBorders>
            <w:shd w:val="clear" w:color="auto" w:fill="auto"/>
            <w:noWrap/>
            <w:vAlign w:val="center"/>
            <w:hideMark/>
          </w:tcPr>
          <w:p w14:paraId="51347837" w14:textId="77777777" w:rsidR="007A48EF" w:rsidRPr="00D2597E" w:rsidRDefault="007A48EF" w:rsidP="00310E28">
            <w:pPr>
              <w:rPr>
                <w:rFonts w:cs="Arial"/>
              </w:rPr>
            </w:pPr>
            <w:r w:rsidRPr="00D2597E">
              <w:rPr>
                <w:rFonts w:cs="Arial"/>
              </w:rPr>
              <w:t>mzdové náklady souhrnně v Kč</w:t>
            </w:r>
          </w:p>
        </w:tc>
        <w:tc>
          <w:tcPr>
            <w:tcW w:w="2268" w:type="dxa"/>
            <w:tcBorders>
              <w:top w:val="nil"/>
              <w:left w:val="nil"/>
              <w:bottom w:val="single" w:sz="4" w:space="0" w:color="auto"/>
              <w:right w:val="single" w:sz="8" w:space="0" w:color="auto"/>
            </w:tcBorders>
            <w:shd w:val="clear" w:color="auto" w:fill="auto"/>
            <w:noWrap/>
            <w:vAlign w:val="center"/>
          </w:tcPr>
          <w:p w14:paraId="51347838" w14:textId="77777777" w:rsidR="007A48EF" w:rsidRPr="00D2597E" w:rsidRDefault="007A48EF" w:rsidP="00310E28">
            <w:pPr>
              <w:jc w:val="right"/>
              <w:rPr>
                <w:rFonts w:cs="Arial"/>
              </w:rPr>
            </w:pPr>
            <w:r w:rsidRPr="00D2597E">
              <w:rPr>
                <w:rFonts w:cs="Arial"/>
              </w:rPr>
              <w:t>1 808 214 075</w:t>
            </w:r>
          </w:p>
        </w:tc>
        <w:tc>
          <w:tcPr>
            <w:tcW w:w="1842" w:type="dxa"/>
            <w:tcBorders>
              <w:top w:val="nil"/>
              <w:left w:val="nil"/>
              <w:bottom w:val="single" w:sz="4" w:space="0" w:color="auto"/>
              <w:right w:val="single" w:sz="8" w:space="0" w:color="auto"/>
            </w:tcBorders>
            <w:vAlign w:val="center"/>
          </w:tcPr>
          <w:p w14:paraId="51347839" w14:textId="77777777" w:rsidR="007A48EF" w:rsidRPr="00D2597E" w:rsidRDefault="007A48EF" w:rsidP="00310E28">
            <w:pPr>
              <w:jc w:val="right"/>
              <w:rPr>
                <w:rFonts w:cs="Arial"/>
              </w:rPr>
            </w:pPr>
            <w:r w:rsidRPr="00D2597E">
              <w:rPr>
                <w:rFonts w:cs="Arial"/>
              </w:rPr>
              <w:t>1 937 062 537</w:t>
            </w:r>
          </w:p>
        </w:tc>
      </w:tr>
      <w:tr w:rsidR="007A48EF" w:rsidRPr="00D2597E" w14:paraId="5134783E" w14:textId="77777777" w:rsidTr="00310E28">
        <w:trPr>
          <w:trHeight w:val="315"/>
        </w:trPr>
        <w:tc>
          <w:tcPr>
            <w:tcW w:w="4962" w:type="dxa"/>
            <w:tcBorders>
              <w:top w:val="nil"/>
              <w:left w:val="single" w:sz="8" w:space="0" w:color="auto"/>
              <w:bottom w:val="single" w:sz="4" w:space="0" w:color="auto"/>
              <w:right w:val="single" w:sz="4" w:space="0" w:color="auto"/>
            </w:tcBorders>
            <w:shd w:val="clear" w:color="auto" w:fill="auto"/>
            <w:noWrap/>
            <w:vAlign w:val="center"/>
          </w:tcPr>
          <w:p w14:paraId="5134783B" w14:textId="77777777" w:rsidR="007A48EF" w:rsidRPr="00D2597E" w:rsidRDefault="007A48EF" w:rsidP="00310E28">
            <w:pPr>
              <w:rPr>
                <w:rFonts w:cs="Arial"/>
              </w:rPr>
            </w:pPr>
            <w:r w:rsidRPr="00D2597E">
              <w:rPr>
                <w:rFonts w:cs="Arial"/>
              </w:rPr>
              <w:t>počet zaměstnanců</w:t>
            </w:r>
          </w:p>
        </w:tc>
        <w:tc>
          <w:tcPr>
            <w:tcW w:w="2268" w:type="dxa"/>
            <w:tcBorders>
              <w:top w:val="nil"/>
              <w:left w:val="nil"/>
              <w:bottom w:val="single" w:sz="4" w:space="0" w:color="auto"/>
              <w:right w:val="single" w:sz="8" w:space="0" w:color="auto"/>
            </w:tcBorders>
            <w:shd w:val="clear" w:color="auto" w:fill="auto"/>
            <w:noWrap/>
            <w:vAlign w:val="center"/>
          </w:tcPr>
          <w:p w14:paraId="5134783C" w14:textId="77777777" w:rsidR="007A48EF" w:rsidRPr="00D2597E" w:rsidRDefault="007A48EF" w:rsidP="00310E28">
            <w:pPr>
              <w:jc w:val="right"/>
              <w:rPr>
                <w:rFonts w:cs="Arial"/>
              </w:rPr>
            </w:pPr>
            <w:r w:rsidRPr="00D2597E">
              <w:rPr>
                <w:rFonts w:cs="Arial"/>
              </w:rPr>
              <w:t>6 492</w:t>
            </w:r>
          </w:p>
        </w:tc>
        <w:tc>
          <w:tcPr>
            <w:tcW w:w="1842" w:type="dxa"/>
            <w:tcBorders>
              <w:top w:val="nil"/>
              <w:left w:val="nil"/>
              <w:bottom w:val="single" w:sz="4" w:space="0" w:color="auto"/>
              <w:right w:val="single" w:sz="8" w:space="0" w:color="auto"/>
            </w:tcBorders>
            <w:vAlign w:val="center"/>
          </w:tcPr>
          <w:p w14:paraId="5134783D" w14:textId="77777777" w:rsidR="007A48EF" w:rsidRPr="00D2597E" w:rsidRDefault="007A48EF" w:rsidP="00310E28">
            <w:pPr>
              <w:jc w:val="right"/>
              <w:rPr>
                <w:rFonts w:cs="Arial"/>
              </w:rPr>
            </w:pPr>
            <w:r w:rsidRPr="00D2597E">
              <w:t>6 492</w:t>
            </w:r>
          </w:p>
        </w:tc>
      </w:tr>
      <w:tr w:rsidR="007A48EF" w:rsidRPr="00D2597E" w14:paraId="51347842" w14:textId="77777777" w:rsidTr="00310E28">
        <w:trPr>
          <w:trHeight w:val="315"/>
        </w:trPr>
        <w:tc>
          <w:tcPr>
            <w:tcW w:w="4962" w:type="dxa"/>
            <w:tcBorders>
              <w:top w:val="nil"/>
              <w:left w:val="single" w:sz="8" w:space="0" w:color="auto"/>
              <w:bottom w:val="single" w:sz="4" w:space="0" w:color="auto"/>
              <w:right w:val="single" w:sz="4" w:space="0" w:color="auto"/>
            </w:tcBorders>
            <w:shd w:val="clear" w:color="auto" w:fill="auto"/>
            <w:noWrap/>
            <w:vAlign w:val="center"/>
          </w:tcPr>
          <w:p w14:paraId="5134783F" w14:textId="77777777" w:rsidR="007A48EF" w:rsidRPr="00D2597E" w:rsidRDefault="007A48EF" w:rsidP="00310E28">
            <w:pPr>
              <w:rPr>
                <w:rFonts w:cs="Arial"/>
              </w:rPr>
            </w:pPr>
            <w:r w:rsidRPr="00D2597E">
              <w:rPr>
                <w:rFonts w:cs="Arial"/>
              </w:rPr>
              <w:t>průměrný plat v Kč/měsíc</w:t>
            </w:r>
          </w:p>
        </w:tc>
        <w:tc>
          <w:tcPr>
            <w:tcW w:w="2268" w:type="dxa"/>
            <w:tcBorders>
              <w:top w:val="nil"/>
              <w:left w:val="nil"/>
              <w:bottom w:val="single" w:sz="4" w:space="0" w:color="auto"/>
              <w:right w:val="single" w:sz="8" w:space="0" w:color="auto"/>
            </w:tcBorders>
            <w:shd w:val="clear" w:color="auto" w:fill="auto"/>
            <w:noWrap/>
            <w:vAlign w:val="center"/>
          </w:tcPr>
          <w:p w14:paraId="51347840" w14:textId="77777777" w:rsidR="007A48EF" w:rsidRPr="00D2597E" w:rsidRDefault="007A48EF" w:rsidP="00310E28">
            <w:pPr>
              <w:jc w:val="right"/>
              <w:rPr>
                <w:rFonts w:cs="Arial"/>
              </w:rPr>
            </w:pPr>
            <w:r w:rsidRPr="00D2597E">
              <w:rPr>
                <w:rFonts w:cs="Arial"/>
              </w:rPr>
              <w:t>22 115</w:t>
            </w:r>
          </w:p>
        </w:tc>
        <w:tc>
          <w:tcPr>
            <w:tcW w:w="1842" w:type="dxa"/>
            <w:tcBorders>
              <w:top w:val="nil"/>
              <w:left w:val="nil"/>
              <w:bottom w:val="single" w:sz="4" w:space="0" w:color="auto"/>
              <w:right w:val="single" w:sz="8" w:space="0" w:color="auto"/>
            </w:tcBorders>
            <w:vAlign w:val="center"/>
          </w:tcPr>
          <w:p w14:paraId="51347841" w14:textId="77777777" w:rsidR="007A48EF" w:rsidRPr="00D2597E" w:rsidRDefault="007A48EF" w:rsidP="00310E28">
            <w:pPr>
              <w:jc w:val="right"/>
              <w:rPr>
                <w:rFonts w:cs="Arial"/>
              </w:rPr>
            </w:pPr>
            <w:r w:rsidRPr="00D2597E">
              <w:rPr>
                <w:rFonts w:cs="Arial"/>
              </w:rPr>
              <w:t>23 736</w:t>
            </w:r>
          </w:p>
        </w:tc>
      </w:tr>
    </w:tbl>
    <w:p w14:paraId="51347843" w14:textId="77777777" w:rsidR="00654D99" w:rsidRDefault="00654D99" w:rsidP="007A48EF">
      <w:pPr>
        <w:spacing w:before="120" w:line="240" w:lineRule="auto"/>
        <w:rPr>
          <w:rFonts w:ascii="Times New Roman" w:hAnsi="Times New Roman"/>
        </w:rPr>
      </w:pPr>
    </w:p>
    <w:p w14:paraId="51347844" w14:textId="77777777" w:rsidR="007A48EF" w:rsidRPr="007A48EF" w:rsidRDefault="007A48EF" w:rsidP="007A48EF">
      <w:pPr>
        <w:spacing w:before="120" w:line="240" w:lineRule="auto"/>
        <w:rPr>
          <w:rFonts w:ascii="Times New Roman" w:hAnsi="Times New Roman"/>
        </w:rPr>
      </w:pPr>
      <w:r w:rsidRPr="007A48EF">
        <w:rPr>
          <w:rFonts w:ascii="Times New Roman" w:hAnsi="Times New Roman"/>
        </w:rPr>
        <w:t>Ve srovnání s rokem 2015 byly nepřekročitelné objemy prostředků určené na krytí mzdových nákladů příspěvkových organizací navýšeny o 128 848 462 Kč. Meziroční nárůst mzdových nákladů tak dosahuje 7,12 % Toto navýšení je dáno nárůstem ve všech složkách mzdových nákladů včetně účelově určených limitů na financování práce v projektech výzkumu a vývoje, kulturních aktivit a spolufinancovaných EU. Účelové limity nejsou kryté prostředky alokovanými v rámci rozpočtu ukazatele Příspěvek na provoz příspěvkových organizací, ale jsou kryté prostředky ukazatelů kulturní aktivity a VVaI. Vzhledem k tomu, že se jedná většinou o realizaci jednorázových projektů nebo v každém roce se měnící objem prostředků v dané organizaci a vzhledem k rozdílnému zapojení do vědeckovýzkumných projektů nelze je plánovat s ročním předstihem a jsou uplatňovány v průběhu rozpočtového období formou navýšení rozpočtu na úhradu nezbytných rozpočtově nekrytých nákladů příspěvkových organizací.</w:t>
      </w:r>
    </w:p>
    <w:p w14:paraId="51347845" w14:textId="77777777" w:rsidR="00802023" w:rsidRDefault="007A48EF" w:rsidP="00654D99">
      <w:pPr>
        <w:pStyle w:val="Zhlav"/>
        <w:spacing w:before="120"/>
        <w:jc w:val="center"/>
        <w:rPr>
          <w:rFonts w:ascii="Times New Roman" w:hAnsi="Times New Roman"/>
        </w:rPr>
      </w:pPr>
      <w:r w:rsidRPr="00D2597E">
        <w:rPr>
          <w:noProof/>
        </w:rPr>
        <w:lastRenderedPageBreak/>
        <w:drawing>
          <wp:inline distT="0" distB="0" distL="0" distR="0" wp14:anchorId="51347FBF" wp14:editId="51347FC0">
            <wp:extent cx="5472752" cy="278414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66843" cy="2781138"/>
                    </a:xfrm>
                    <a:prstGeom prst="rect">
                      <a:avLst/>
                    </a:prstGeom>
                  </pic:spPr>
                </pic:pic>
              </a:graphicData>
            </a:graphic>
          </wp:inline>
        </w:drawing>
      </w:r>
    </w:p>
    <w:p w14:paraId="51347846" w14:textId="77777777" w:rsidR="007A48EF" w:rsidRPr="007A48EF" w:rsidRDefault="007A48EF" w:rsidP="00654D99">
      <w:pPr>
        <w:spacing w:before="240" w:line="240" w:lineRule="auto"/>
        <w:rPr>
          <w:rFonts w:ascii="Times New Roman" w:hAnsi="Times New Roman"/>
        </w:rPr>
      </w:pPr>
      <w:r w:rsidRPr="007A48EF">
        <w:rPr>
          <w:rFonts w:ascii="Times New Roman" w:hAnsi="Times New Roman"/>
        </w:rPr>
        <w:t xml:space="preserve">Přes meziroční navýšení mzdových nákladů více než o 7% zůstává platová úroveň v resortu na nízké hladině ve srovnání se zaměstnanci ostatních kapitol a pod průměrem mzdy v ČR. Stejná situace platí pro většinu organizací, pokud je srovnáváme s platovou úrovní zaměstnanců nepodnikatelské sféry v daném regionu. Meziroční navýšení limitů mzdových nákladů umožní pouze částečně navýšit platy zaměstnanců, neumožňuje však řešit velmi naléhavou potřebu provozu nových kapacit vzniklých spolufinancováním EU. Jedná se </w:t>
      </w:r>
      <w:r w:rsidR="00AF0D56" w:rsidRPr="007A48EF">
        <w:rPr>
          <w:rFonts w:ascii="Times New Roman" w:hAnsi="Times New Roman"/>
          <w:highlight w:val="yellow"/>
        </w:rPr>
        <w:br/>
      </w:r>
      <w:r w:rsidRPr="007A48EF">
        <w:rPr>
          <w:rFonts w:ascii="Times New Roman" w:hAnsi="Times New Roman"/>
        </w:rPr>
        <w:t xml:space="preserve">o projekty realizované Národní knihovnou (projekt Národní digitální knihovna), Národním památkovým ústavem (několik projektů obnovy zámeckých areálů s návazností na nové funkční využití historických objektů), Národní technické muzeum (projekt Centra stavitelství Plasy). Tyto projekty vyžadují po úspěšném dokončení, aby byly provozovány v rozsahu </w:t>
      </w:r>
      <w:r w:rsidRPr="007A48EF">
        <w:rPr>
          <w:rFonts w:ascii="Times New Roman" w:hAnsi="Times New Roman"/>
          <w:highlight w:val="yellow"/>
        </w:rPr>
        <w:br/>
      </w:r>
      <w:r w:rsidRPr="007A48EF">
        <w:rPr>
          <w:rFonts w:ascii="Times New Roman" w:hAnsi="Times New Roman"/>
        </w:rPr>
        <w:t>a způsobem, který stanovují dotační podmínky. V opačném případě hrozí odvody a sankční postihy spojené s nedodržením dotačních podmínek. Pro zajištění provozu všech projektů je nezbytné zajistit dodatečné pracovní náklady. Obtížné není ani tak vlastní profinancování nákladů, projekty v některých případech generují vlastní výnosy. Nezajištěné tak zůstávají mzdové náklady z důvodu nedo</w:t>
      </w:r>
      <w:r w:rsidR="008D17C7">
        <w:rPr>
          <w:rFonts w:ascii="Times New Roman" w:hAnsi="Times New Roman"/>
        </w:rPr>
        <w:t>st</w:t>
      </w:r>
      <w:r w:rsidRPr="007A48EF">
        <w:rPr>
          <w:rFonts w:ascii="Times New Roman" w:hAnsi="Times New Roman"/>
        </w:rPr>
        <w:t>atečných limitů výdajů na platy příspěvkových organizací. Výše uvedené požadavky ministerstva nebyly ze strany Ministerstva financí pro rok 201</w:t>
      </w:r>
      <w:r w:rsidR="008D17C7">
        <w:rPr>
          <w:rFonts w:ascii="Times New Roman" w:hAnsi="Times New Roman"/>
        </w:rPr>
        <w:t>6</w:t>
      </w:r>
      <w:r w:rsidRPr="007A48EF">
        <w:rPr>
          <w:rFonts w:ascii="Times New Roman" w:hAnsi="Times New Roman"/>
        </w:rPr>
        <w:t xml:space="preserve"> zcela vypořádány.</w:t>
      </w:r>
    </w:p>
    <w:p w14:paraId="51347847" w14:textId="77777777" w:rsidR="007A48EF" w:rsidRPr="007A48EF" w:rsidRDefault="007A48EF" w:rsidP="007A48EF">
      <w:pPr>
        <w:spacing w:before="120" w:line="240" w:lineRule="auto"/>
        <w:rPr>
          <w:rFonts w:ascii="Times New Roman" w:hAnsi="Times New Roman"/>
          <w:u w:val="single"/>
        </w:rPr>
      </w:pPr>
      <w:r w:rsidRPr="007A48EF">
        <w:rPr>
          <w:rFonts w:ascii="Times New Roman" w:hAnsi="Times New Roman"/>
          <w:u w:val="single"/>
        </w:rPr>
        <w:t>Limit mzdových nákladů krytý příspěvkem na provoz</w:t>
      </w:r>
      <w:r w:rsidRPr="007A48EF">
        <w:rPr>
          <w:rFonts w:ascii="Times New Roman" w:hAnsi="Times New Roman"/>
          <w:u w:val="single"/>
        </w:rPr>
        <w:tab/>
      </w:r>
      <w:r w:rsidRPr="007A48EF">
        <w:rPr>
          <w:rFonts w:ascii="Times New Roman" w:hAnsi="Times New Roman"/>
          <w:u w:val="single"/>
        </w:rPr>
        <w:tab/>
      </w:r>
      <w:r w:rsidRPr="007A48EF">
        <w:rPr>
          <w:rFonts w:ascii="Times New Roman" w:hAnsi="Times New Roman"/>
          <w:u w:val="single"/>
        </w:rPr>
        <w:tab/>
        <w:t>    1</w:t>
      </w:r>
      <w:r w:rsidR="00AF0D56" w:rsidRPr="007A48EF">
        <w:rPr>
          <w:rFonts w:ascii="Times New Roman" w:hAnsi="Times New Roman"/>
          <w:u w:val="single"/>
        </w:rPr>
        <w:t> </w:t>
      </w:r>
      <w:r w:rsidRPr="007A48EF">
        <w:rPr>
          <w:rFonts w:ascii="Times New Roman" w:hAnsi="Times New Roman"/>
          <w:u w:val="single"/>
        </w:rPr>
        <w:t>847 898 537 Kč</w:t>
      </w:r>
    </w:p>
    <w:p w14:paraId="51347848" w14:textId="77777777" w:rsidR="007A48EF" w:rsidRPr="007A48EF" w:rsidRDefault="007A48EF" w:rsidP="007A48EF">
      <w:pPr>
        <w:spacing w:before="120" w:line="240" w:lineRule="auto"/>
        <w:rPr>
          <w:rFonts w:ascii="Times New Roman" w:hAnsi="Times New Roman"/>
        </w:rPr>
      </w:pPr>
      <w:r w:rsidRPr="007A48EF">
        <w:rPr>
          <w:rFonts w:ascii="Times New Roman" w:hAnsi="Times New Roman"/>
        </w:rPr>
        <w:t xml:space="preserve">Z celkového objemu nepřekročitelných prostředků na mzdové náklady je část prostředků </w:t>
      </w:r>
      <w:r w:rsidRPr="007A48EF">
        <w:rPr>
          <w:rFonts w:ascii="Times New Roman" w:hAnsi="Times New Roman"/>
          <w:highlight w:val="yellow"/>
        </w:rPr>
        <w:br/>
      </w:r>
      <w:r w:rsidRPr="007A48EF">
        <w:rPr>
          <w:rFonts w:ascii="Times New Roman" w:hAnsi="Times New Roman"/>
        </w:rPr>
        <w:t xml:space="preserve">na platy zaměstnanců a část prostředků na ostatní osobní náklady finančně zajištěna příspěvkem zřizovatele. Výše takto zajištěného limitu činí 1 789 777 168 Kč určených </w:t>
      </w:r>
      <w:r w:rsidRPr="007A48EF">
        <w:rPr>
          <w:rFonts w:ascii="Times New Roman" w:hAnsi="Times New Roman"/>
          <w:highlight w:val="yellow"/>
        </w:rPr>
        <w:br/>
      </w:r>
      <w:r w:rsidRPr="007A48EF">
        <w:rPr>
          <w:rFonts w:ascii="Times New Roman" w:hAnsi="Times New Roman"/>
        </w:rPr>
        <w:t xml:space="preserve">na platy zaměstnanců a 58 121 369 Kč určených zejména k úhradě nákladů vyplývajících z dohod o provedení práce a o pracovní činnosti. </w:t>
      </w:r>
    </w:p>
    <w:p w14:paraId="51347849" w14:textId="77777777" w:rsidR="007A48EF" w:rsidRPr="007A48EF" w:rsidRDefault="007A48EF" w:rsidP="007A48EF">
      <w:pPr>
        <w:spacing w:before="120" w:line="240" w:lineRule="auto"/>
        <w:rPr>
          <w:rFonts w:ascii="Times New Roman" w:hAnsi="Times New Roman"/>
          <w:u w:val="single"/>
        </w:rPr>
      </w:pPr>
      <w:r w:rsidRPr="007A48EF">
        <w:rPr>
          <w:rFonts w:ascii="Times New Roman" w:hAnsi="Times New Roman"/>
          <w:u w:val="single"/>
        </w:rPr>
        <w:t>Limit mzdových nákladů krytý dalšími výdaji kapitoly</w:t>
      </w:r>
      <w:r w:rsidRPr="007A48EF">
        <w:rPr>
          <w:rFonts w:ascii="Times New Roman" w:hAnsi="Times New Roman"/>
          <w:u w:val="single"/>
        </w:rPr>
        <w:tab/>
      </w:r>
      <w:r w:rsidRPr="007A48EF">
        <w:rPr>
          <w:rFonts w:ascii="Times New Roman" w:hAnsi="Times New Roman"/>
          <w:u w:val="single"/>
        </w:rPr>
        <w:tab/>
      </w:r>
      <w:r w:rsidRPr="007A48EF">
        <w:rPr>
          <w:rFonts w:ascii="Times New Roman" w:hAnsi="Times New Roman"/>
          <w:u w:val="single"/>
        </w:rPr>
        <w:tab/>
        <w:t>         89 164 000 Kč</w:t>
      </w:r>
    </w:p>
    <w:p w14:paraId="5134784A" w14:textId="77777777" w:rsidR="007A48EF" w:rsidRPr="007A48EF" w:rsidRDefault="007A48EF" w:rsidP="007A48EF">
      <w:pPr>
        <w:spacing w:before="120" w:line="240" w:lineRule="auto"/>
        <w:rPr>
          <w:rFonts w:ascii="Times New Roman" w:hAnsi="Times New Roman"/>
        </w:rPr>
      </w:pPr>
      <w:r w:rsidRPr="007A48EF">
        <w:rPr>
          <w:rFonts w:ascii="Times New Roman" w:hAnsi="Times New Roman"/>
        </w:rPr>
        <w:t>Kromě nepřekročitelného objemu prostředků na platy a OON krytého příspěvkem na provoz jsou pro potřeby příspěvkových organizací určeny limity prostředků rozpočtově zajištěné výdaji kapitoly 334 Ministerstvo kultury v rámci ukazatelů „Věda, výzkum a inovace“ nebo „Kulturní aktivity“, případně jsou na ně vyčleněny prostředky v rámci rozpočtu projektů spolufinancovaných EU. Jejich přehled je v níže uvedené tabulce.</w:t>
      </w:r>
    </w:p>
    <w:p w14:paraId="5134784B" w14:textId="77777777" w:rsidR="007A48EF" w:rsidRPr="007A48EF" w:rsidRDefault="007A48EF" w:rsidP="007A48EF">
      <w:pPr>
        <w:spacing w:before="120" w:line="240" w:lineRule="auto"/>
        <w:rPr>
          <w:rFonts w:ascii="Times New Roman" w:hAnsi="Times New Roman"/>
        </w:rPr>
      </w:pPr>
      <w:r w:rsidRPr="007A48EF">
        <w:rPr>
          <w:rFonts w:ascii="Times New Roman" w:hAnsi="Times New Roman"/>
        </w:rPr>
        <w:lastRenderedPageBreak/>
        <w:t>V tabulce jsou uvedeny mzdové náklady v podrobném členění z hlediska jejich rozpočtového krytí a dále jsou uvedeny odvody zaměstnavatele za zaměstnance, které nejsou součástí limitů, ale jsou u většiny příspěvkových organizací rovněž finančně zajištěné příspěvkem na</w:t>
      </w:r>
      <w:r w:rsidR="00047798">
        <w:rPr>
          <w:rFonts w:ascii="Times New Roman" w:hAnsi="Times New Roman"/>
        </w:rPr>
        <w:t> </w:t>
      </w:r>
      <w:r w:rsidRPr="007A48EF">
        <w:rPr>
          <w:rFonts w:ascii="Times New Roman" w:hAnsi="Times New Roman"/>
        </w:rPr>
        <w:t>provoz nebo prostředky rozpočtovanými ve výše uvedených rozpočtových ukazatelích</w:t>
      </w:r>
      <w:r w:rsidR="00047798">
        <w:rPr>
          <w:rFonts w:ascii="Times New Roman" w:hAnsi="Times New Roman"/>
        </w:rPr>
        <w:t>:</w:t>
      </w:r>
    </w:p>
    <w:p w14:paraId="5134784C" w14:textId="77777777" w:rsidR="007A48EF" w:rsidRPr="00D2597E" w:rsidRDefault="007A48EF" w:rsidP="007A48EF">
      <w:pPr>
        <w:spacing w:before="120" w:line="240" w:lineRule="auto"/>
        <w:rPr>
          <w:u w:val="single"/>
        </w:rPr>
      </w:pPr>
      <w:r w:rsidRPr="00D2597E">
        <w:rPr>
          <w:noProof/>
          <w:u w:val="single"/>
        </w:rPr>
        <w:drawing>
          <wp:inline distT="0" distB="0" distL="0" distR="0" wp14:anchorId="51347FC1" wp14:editId="51347FC2">
            <wp:extent cx="5760720" cy="1064029"/>
            <wp:effectExtent l="0" t="0" r="0" b="317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064029"/>
                    </a:xfrm>
                    <a:prstGeom prst="rect">
                      <a:avLst/>
                    </a:prstGeom>
                    <a:noFill/>
                    <a:ln>
                      <a:noFill/>
                    </a:ln>
                  </pic:spPr>
                </pic:pic>
              </a:graphicData>
            </a:graphic>
          </wp:inline>
        </w:drawing>
      </w:r>
    </w:p>
    <w:p w14:paraId="5134784D" w14:textId="77777777" w:rsidR="00802023" w:rsidRPr="007A48EF" w:rsidRDefault="00802023" w:rsidP="007A48EF">
      <w:pPr>
        <w:pStyle w:val="Zhlav"/>
        <w:rPr>
          <w:rFonts w:ascii="Times New Roman" w:hAnsi="Times New Roman"/>
        </w:rPr>
      </w:pPr>
    </w:p>
    <w:p w14:paraId="5134784E" w14:textId="77777777" w:rsidR="00FE7642" w:rsidRPr="00EC490B" w:rsidRDefault="00FE7642" w:rsidP="005F74C1">
      <w:pPr>
        <w:spacing w:before="120" w:line="240" w:lineRule="auto"/>
        <w:rPr>
          <w:rFonts w:ascii="Times New Roman" w:hAnsi="Times New Roman"/>
          <w:b/>
        </w:rPr>
      </w:pPr>
      <w:r w:rsidRPr="00EC490B">
        <w:rPr>
          <w:rFonts w:ascii="Times New Roman" w:hAnsi="Times New Roman"/>
          <w:b/>
        </w:rPr>
        <w:t>b)</w:t>
      </w:r>
      <w:r w:rsidRPr="00EC490B">
        <w:rPr>
          <w:rFonts w:ascii="Times New Roman" w:hAnsi="Times New Roman"/>
          <w:b/>
        </w:rPr>
        <w:tab/>
        <w:t>program péče o národní kulturní poklad</w:t>
      </w:r>
      <w:r w:rsidRPr="00EC490B">
        <w:rPr>
          <w:rFonts w:ascii="Times New Roman" w:hAnsi="Times New Roman"/>
          <w:b/>
        </w:rPr>
        <w:tab/>
      </w:r>
      <w:r w:rsidRPr="00EC490B">
        <w:rPr>
          <w:rFonts w:ascii="Times New Roman" w:hAnsi="Times New Roman"/>
          <w:b/>
        </w:rPr>
        <w:tab/>
      </w:r>
      <w:r w:rsidRPr="00EC490B">
        <w:rPr>
          <w:rFonts w:ascii="Times New Roman" w:hAnsi="Times New Roman"/>
          <w:b/>
        </w:rPr>
        <w:tab/>
      </w:r>
      <w:r w:rsidRPr="00EC490B">
        <w:rPr>
          <w:rFonts w:ascii="Times New Roman" w:hAnsi="Times New Roman"/>
          <w:b/>
        </w:rPr>
        <w:tab/>
        <w:t>    1</w:t>
      </w:r>
      <w:r w:rsidR="00D27CB0" w:rsidRPr="00EC490B">
        <w:rPr>
          <w:rFonts w:ascii="Times New Roman" w:hAnsi="Times New Roman"/>
          <w:b/>
        </w:rPr>
        <w:t> 000 000</w:t>
      </w:r>
      <w:r w:rsidR="00386A2C" w:rsidRPr="00EC490B">
        <w:rPr>
          <w:rFonts w:ascii="Times New Roman" w:hAnsi="Times New Roman"/>
          <w:b/>
        </w:rPr>
        <w:t> </w:t>
      </w:r>
      <w:r w:rsidR="00D27CB0" w:rsidRPr="00EC490B">
        <w:rPr>
          <w:rFonts w:ascii="Times New Roman" w:hAnsi="Times New Roman"/>
          <w:b/>
        </w:rPr>
        <w:t>000</w:t>
      </w:r>
      <w:r w:rsidR="00386A2C" w:rsidRPr="00EC490B">
        <w:rPr>
          <w:rFonts w:ascii="Times New Roman" w:hAnsi="Times New Roman"/>
          <w:b/>
        </w:rPr>
        <w:t> </w:t>
      </w:r>
      <w:r w:rsidRPr="00EC490B">
        <w:rPr>
          <w:rFonts w:ascii="Times New Roman" w:hAnsi="Times New Roman"/>
          <w:b/>
        </w:rPr>
        <w:t>Kč</w:t>
      </w:r>
    </w:p>
    <w:p w14:paraId="5134784F" w14:textId="77777777" w:rsidR="00FE7642" w:rsidRDefault="0016351C" w:rsidP="007D3FA6">
      <w:pPr>
        <w:spacing w:line="240" w:lineRule="auto"/>
        <w:rPr>
          <w:rFonts w:ascii="Times New Roman" w:hAnsi="Times New Roman"/>
          <w:lang w:eastAsia="en-US"/>
        </w:rPr>
      </w:pPr>
      <w:r w:rsidRPr="00EC490B">
        <w:rPr>
          <w:rFonts w:ascii="Times New Roman" w:hAnsi="Times New Roman"/>
          <w:lang w:eastAsia="en-US"/>
        </w:rPr>
        <w:t xml:space="preserve">Program péče o národní kulturní poklad je pro rok 2016 rozpočtován ve výši 1 mld. Kč, což </w:t>
      </w:r>
      <w:r>
        <w:rPr>
          <w:rFonts w:ascii="Times New Roman" w:hAnsi="Times New Roman"/>
          <w:lang w:eastAsia="en-US"/>
        </w:rPr>
        <w:t>odpovídá stavu realizací jednotlivých akcí zařazených do prog</w:t>
      </w:r>
      <w:r w:rsidR="00EC490B">
        <w:rPr>
          <w:rFonts w:ascii="Times New Roman" w:hAnsi="Times New Roman"/>
          <w:lang w:eastAsia="en-US"/>
        </w:rPr>
        <w:t>r</w:t>
      </w:r>
      <w:r>
        <w:rPr>
          <w:rFonts w:ascii="Times New Roman" w:hAnsi="Times New Roman"/>
          <w:lang w:eastAsia="en-US"/>
        </w:rPr>
        <w:t>amu</w:t>
      </w:r>
      <w:r w:rsidR="00EC490B">
        <w:rPr>
          <w:rFonts w:ascii="Times New Roman" w:hAnsi="Times New Roman"/>
          <w:lang w:eastAsia="en-US"/>
        </w:rPr>
        <w:t xml:space="preserve"> 134V120. Do výše rozpočtované částky se </w:t>
      </w:r>
      <w:r w:rsidRPr="0016351C">
        <w:rPr>
          <w:rFonts w:ascii="Times New Roman" w:hAnsi="Times New Roman"/>
          <w:lang w:eastAsia="en-US"/>
        </w:rPr>
        <w:t>promítá usnesení vlády č. 437 ze dne 16. června 2014 k přípravě návrhu státního rozpočtu České republiky na rok 2015 a střednědobého výhledu na léta 2016 a 2017, na jehož základě byly navýšeny tehdy platné výdajové rámce, a to o 1</w:t>
      </w:r>
      <w:r w:rsidR="00EC490B">
        <w:rPr>
          <w:rFonts w:ascii="Times New Roman" w:hAnsi="Times New Roman"/>
          <w:lang w:eastAsia="en-US"/>
        </w:rPr>
        <w:t xml:space="preserve"> mld. </w:t>
      </w:r>
      <w:r w:rsidRPr="0016351C">
        <w:rPr>
          <w:rFonts w:ascii="Times New Roman" w:hAnsi="Times New Roman"/>
          <w:lang w:eastAsia="en-US"/>
        </w:rPr>
        <w:t xml:space="preserve">Kč na péči o národní kulturní poklad. </w:t>
      </w:r>
      <w:r w:rsidR="00EC490B" w:rsidRPr="00EC490B">
        <w:rPr>
          <w:rFonts w:ascii="Times New Roman" w:hAnsi="Times New Roman"/>
          <w:lang w:eastAsia="en-US"/>
        </w:rPr>
        <w:t xml:space="preserve">Současně </w:t>
      </w:r>
      <w:r w:rsidR="00EC490B">
        <w:rPr>
          <w:rFonts w:ascii="Times New Roman" w:hAnsi="Times New Roman"/>
          <w:lang w:eastAsia="en-US"/>
        </w:rPr>
        <w:t xml:space="preserve">jsou </w:t>
      </w:r>
      <w:r w:rsidR="00EC490B" w:rsidRPr="00EC490B">
        <w:rPr>
          <w:rFonts w:ascii="Times New Roman" w:hAnsi="Times New Roman"/>
          <w:lang w:eastAsia="en-US"/>
        </w:rPr>
        <w:t xml:space="preserve">pro rok 2016 </w:t>
      </w:r>
      <w:r w:rsidR="00EC490B">
        <w:rPr>
          <w:rFonts w:ascii="Times New Roman" w:hAnsi="Times New Roman"/>
          <w:lang w:eastAsia="en-US"/>
        </w:rPr>
        <w:t xml:space="preserve">ještě </w:t>
      </w:r>
      <w:r w:rsidR="00EC490B" w:rsidRPr="00EC490B">
        <w:rPr>
          <w:rFonts w:ascii="Times New Roman" w:hAnsi="Times New Roman"/>
          <w:lang w:eastAsia="en-US"/>
        </w:rPr>
        <w:t>k dispozici finanční prostředky z</w:t>
      </w:r>
      <w:r w:rsidR="00EC490B">
        <w:rPr>
          <w:rFonts w:ascii="Times New Roman" w:hAnsi="Times New Roman"/>
          <w:lang w:eastAsia="en-US"/>
        </w:rPr>
        <w:t> </w:t>
      </w:r>
      <w:r w:rsidR="00EC490B" w:rsidRPr="00EC490B">
        <w:rPr>
          <w:rFonts w:ascii="Times New Roman" w:hAnsi="Times New Roman"/>
          <w:lang w:eastAsia="en-US"/>
        </w:rPr>
        <w:t>Fondu privatizace ve výši 684 110 307,- Kč, které budou požadovány.</w:t>
      </w:r>
      <w:r w:rsidR="00EC490B">
        <w:rPr>
          <w:rFonts w:ascii="Times New Roman" w:hAnsi="Times New Roman"/>
          <w:lang w:eastAsia="en-US"/>
        </w:rPr>
        <w:t xml:space="preserve"> Prostředky zařazené do programu umožní plynulé pokračování či zahájení jednotlivých akcí </w:t>
      </w:r>
      <w:r w:rsidRPr="0016351C">
        <w:rPr>
          <w:rFonts w:ascii="Times New Roman" w:hAnsi="Times New Roman"/>
          <w:lang w:eastAsia="en-US"/>
        </w:rPr>
        <w:t>v plánovaných časových a finančních parametrech. Prostředky jsou určeny např. na rekonstrukci hlavní budovy Národního muzea, pro Národní knihovnu ČR na rekonstrukci stávajícího depozitáře v</w:t>
      </w:r>
      <w:r w:rsidR="00EC490B">
        <w:rPr>
          <w:rFonts w:ascii="Times New Roman" w:hAnsi="Times New Roman"/>
          <w:lang w:eastAsia="en-US"/>
        </w:rPr>
        <w:t> </w:t>
      </w:r>
      <w:r w:rsidRPr="0016351C">
        <w:rPr>
          <w:rFonts w:ascii="Times New Roman" w:hAnsi="Times New Roman"/>
          <w:lang w:eastAsia="en-US"/>
        </w:rPr>
        <w:t>Hostivaři, dokončení revitalizace budovy Klementina, na rekonstrukci provozní a historické budovy Státní opery.</w:t>
      </w:r>
    </w:p>
    <w:p w14:paraId="51347850" w14:textId="77777777" w:rsidR="00EC490B" w:rsidRPr="00033A68" w:rsidRDefault="00EC490B" w:rsidP="007D3FA6">
      <w:pPr>
        <w:spacing w:line="240" w:lineRule="auto"/>
        <w:rPr>
          <w:rFonts w:ascii="Times New Roman" w:hAnsi="Times New Roman"/>
          <w:lang w:eastAsia="en-US"/>
        </w:rPr>
      </w:pPr>
    </w:p>
    <w:p w14:paraId="51347851" w14:textId="77777777" w:rsidR="00FE7642" w:rsidRPr="00EC490B" w:rsidRDefault="00FE7642" w:rsidP="005F74C1">
      <w:pPr>
        <w:spacing w:before="120" w:line="240" w:lineRule="auto"/>
        <w:ind w:left="708" w:hanging="708"/>
        <w:jc w:val="left"/>
        <w:rPr>
          <w:rFonts w:ascii="Times New Roman" w:hAnsi="Times New Roman"/>
          <w:b/>
        </w:rPr>
      </w:pPr>
      <w:r w:rsidRPr="00EC490B">
        <w:rPr>
          <w:rFonts w:ascii="Times New Roman" w:hAnsi="Times New Roman"/>
          <w:b/>
        </w:rPr>
        <w:t>c)</w:t>
      </w:r>
      <w:r w:rsidRPr="00EC490B">
        <w:rPr>
          <w:rFonts w:ascii="Times New Roman" w:hAnsi="Times New Roman"/>
          <w:b/>
        </w:rPr>
        <w:tab/>
        <w:t xml:space="preserve">rozvoj a obnova materiálně technické základny </w:t>
      </w:r>
      <w:r w:rsidRPr="00EC490B">
        <w:rPr>
          <w:rFonts w:ascii="Times New Roman" w:hAnsi="Times New Roman"/>
          <w:b/>
        </w:rPr>
        <w:br/>
        <w:t>státních kulturních zařízení</w:t>
      </w:r>
      <w:r w:rsidRPr="00EC490B">
        <w:rPr>
          <w:rFonts w:ascii="Times New Roman" w:hAnsi="Times New Roman"/>
          <w:b/>
        </w:rPr>
        <w:tab/>
      </w:r>
      <w:r w:rsidRPr="00EC490B">
        <w:rPr>
          <w:rFonts w:ascii="Times New Roman" w:hAnsi="Times New Roman"/>
          <w:b/>
        </w:rPr>
        <w:tab/>
      </w:r>
      <w:r w:rsidRPr="00EC490B">
        <w:rPr>
          <w:rFonts w:ascii="Times New Roman" w:hAnsi="Times New Roman"/>
          <w:b/>
        </w:rPr>
        <w:tab/>
      </w:r>
      <w:r w:rsidRPr="00EC490B">
        <w:rPr>
          <w:rFonts w:ascii="Times New Roman" w:hAnsi="Times New Roman"/>
          <w:b/>
        </w:rPr>
        <w:tab/>
      </w:r>
      <w:r w:rsidRPr="00EC490B">
        <w:rPr>
          <w:rFonts w:ascii="Times New Roman" w:hAnsi="Times New Roman"/>
          <w:b/>
        </w:rPr>
        <w:tab/>
        <w:t>       </w:t>
      </w:r>
      <w:r w:rsidR="001F701E" w:rsidRPr="00EC490B">
        <w:rPr>
          <w:rFonts w:ascii="Times New Roman" w:hAnsi="Times New Roman"/>
          <w:b/>
        </w:rPr>
        <w:t>4</w:t>
      </w:r>
      <w:r w:rsidR="00BE252A" w:rsidRPr="00EC490B">
        <w:rPr>
          <w:rFonts w:ascii="Times New Roman" w:hAnsi="Times New Roman"/>
          <w:b/>
        </w:rPr>
        <w:t>22</w:t>
      </w:r>
      <w:r w:rsidR="00386A2C" w:rsidRPr="00EC490B">
        <w:rPr>
          <w:rFonts w:ascii="Times New Roman" w:hAnsi="Times New Roman"/>
          <w:b/>
        </w:rPr>
        <w:t> </w:t>
      </w:r>
      <w:r w:rsidR="00BE252A" w:rsidRPr="00EC490B">
        <w:rPr>
          <w:rFonts w:ascii="Times New Roman" w:hAnsi="Times New Roman"/>
          <w:b/>
        </w:rPr>
        <w:t>137</w:t>
      </w:r>
      <w:r w:rsidR="00386A2C" w:rsidRPr="00EC490B">
        <w:rPr>
          <w:rFonts w:ascii="Times New Roman" w:hAnsi="Times New Roman"/>
          <w:b/>
        </w:rPr>
        <w:t> </w:t>
      </w:r>
      <w:r w:rsidR="00D27CB0" w:rsidRPr="00EC490B">
        <w:rPr>
          <w:rFonts w:ascii="Times New Roman" w:hAnsi="Times New Roman"/>
          <w:b/>
        </w:rPr>
        <w:t>000</w:t>
      </w:r>
      <w:r w:rsidR="00386A2C" w:rsidRPr="00EC490B">
        <w:rPr>
          <w:rFonts w:ascii="Times New Roman" w:hAnsi="Times New Roman"/>
          <w:b/>
        </w:rPr>
        <w:t> </w:t>
      </w:r>
      <w:r w:rsidRPr="00EC490B">
        <w:rPr>
          <w:rFonts w:ascii="Times New Roman" w:hAnsi="Times New Roman"/>
          <w:b/>
        </w:rPr>
        <w:t>Kč</w:t>
      </w:r>
    </w:p>
    <w:p w14:paraId="51347852" w14:textId="77777777" w:rsidR="00FE7642" w:rsidRPr="00EC490B" w:rsidRDefault="001F23D0" w:rsidP="00EC490B">
      <w:pPr>
        <w:spacing w:before="120" w:line="240" w:lineRule="auto"/>
        <w:rPr>
          <w:rFonts w:ascii="Times New Roman" w:hAnsi="Times New Roman"/>
        </w:rPr>
      </w:pPr>
      <w:r>
        <w:rPr>
          <w:rFonts w:ascii="Times New Roman" w:hAnsi="Times New Roman"/>
        </w:rPr>
        <w:t xml:space="preserve">Do </w:t>
      </w:r>
      <w:r w:rsidR="00405B25" w:rsidRPr="00EC490B">
        <w:rPr>
          <w:rFonts w:ascii="Times New Roman" w:hAnsi="Times New Roman"/>
        </w:rPr>
        <w:t>to</w:t>
      </w:r>
      <w:r>
        <w:rPr>
          <w:rFonts w:ascii="Times New Roman" w:hAnsi="Times New Roman"/>
        </w:rPr>
        <w:t>hoto ukazatele je zařazeno osm podprogramů evidovaných v systému EDS/SMVS. Pro</w:t>
      </w:r>
      <w:r w:rsidR="00655D30">
        <w:rPr>
          <w:rFonts w:ascii="Times New Roman" w:hAnsi="Times New Roman"/>
        </w:rPr>
        <w:t> </w:t>
      </w:r>
      <w:r>
        <w:rPr>
          <w:rFonts w:ascii="Times New Roman" w:hAnsi="Times New Roman"/>
        </w:rPr>
        <w:t xml:space="preserve">rok 2016 jsou výdaje rozpočtovány ve dvou </w:t>
      </w:r>
      <w:r w:rsidR="00655D30">
        <w:rPr>
          <w:rFonts w:ascii="Times New Roman" w:hAnsi="Times New Roman"/>
        </w:rPr>
        <w:t xml:space="preserve">z těchto </w:t>
      </w:r>
      <w:r>
        <w:rPr>
          <w:rFonts w:ascii="Times New Roman" w:hAnsi="Times New Roman"/>
        </w:rPr>
        <w:t>podprogram</w:t>
      </w:r>
      <w:r w:rsidR="00655D30">
        <w:rPr>
          <w:rFonts w:ascii="Times New Roman" w:hAnsi="Times New Roman"/>
        </w:rPr>
        <w:t>ů</w:t>
      </w:r>
      <w:r>
        <w:rPr>
          <w:rFonts w:ascii="Times New Roman" w:hAnsi="Times New Roman"/>
        </w:rPr>
        <w:t xml:space="preserve"> </w:t>
      </w:r>
      <w:r w:rsidR="00405B25" w:rsidRPr="00EC490B">
        <w:rPr>
          <w:rFonts w:ascii="Times New Roman" w:hAnsi="Times New Roman"/>
        </w:rPr>
        <w:t xml:space="preserve">v celkové výši </w:t>
      </w:r>
      <w:r w:rsidR="001F701E" w:rsidRPr="00EC490B">
        <w:rPr>
          <w:rFonts w:ascii="Times New Roman" w:hAnsi="Times New Roman"/>
        </w:rPr>
        <w:t>4</w:t>
      </w:r>
      <w:r w:rsidR="00BB2E13" w:rsidRPr="00EC490B">
        <w:rPr>
          <w:rFonts w:ascii="Times New Roman" w:hAnsi="Times New Roman"/>
        </w:rPr>
        <w:t>22</w:t>
      </w:r>
      <w:r w:rsidR="00655D30">
        <w:rPr>
          <w:rFonts w:ascii="Times New Roman" w:hAnsi="Times New Roman"/>
        </w:rPr>
        <w:t> </w:t>
      </w:r>
      <w:r w:rsidR="00BB2E13" w:rsidRPr="00EC490B">
        <w:rPr>
          <w:rFonts w:ascii="Times New Roman" w:hAnsi="Times New Roman"/>
        </w:rPr>
        <w:t>137</w:t>
      </w:r>
      <w:r w:rsidR="00655D30">
        <w:rPr>
          <w:rFonts w:ascii="Times New Roman" w:hAnsi="Times New Roman"/>
        </w:rPr>
        <w:t> </w:t>
      </w:r>
      <w:r w:rsidR="00405B25" w:rsidRPr="00EC490B">
        <w:rPr>
          <w:rFonts w:ascii="Times New Roman" w:hAnsi="Times New Roman"/>
        </w:rPr>
        <w:t>tis</w:t>
      </w:r>
      <w:r w:rsidR="00405B25" w:rsidRPr="00EC490B">
        <w:rPr>
          <w:rFonts w:ascii="Times New Roman" w:hAnsi="Times New Roman"/>
          <w:b/>
        </w:rPr>
        <w:t>.</w:t>
      </w:r>
      <w:r w:rsidR="00412836" w:rsidRPr="00EC490B">
        <w:rPr>
          <w:rFonts w:ascii="Times New Roman" w:hAnsi="Times New Roman"/>
          <w:b/>
        </w:rPr>
        <w:t> </w:t>
      </w:r>
      <w:r w:rsidR="00405B25" w:rsidRPr="00EC490B">
        <w:rPr>
          <w:rFonts w:ascii="Times New Roman" w:hAnsi="Times New Roman"/>
        </w:rPr>
        <w:t xml:space="preserve">Kč, což je o </w:t>
      </w:r>
      <w:r w:rsidR="001F701E" w:rsidRPr="00EC490B">
        <w:rPr>
          <w:rFonts w:ascii="Times New Roman" w:hAnsi="Times New Roman"/>
        </w:rPr>
        <w:t>206</w:t>
      </w:r>
      <w:r w:rsidR="0076650F" w:rsidRPr="00EC490B">
        <w:rPr>
          <w:rFonts w:ascii="Times New Roman" w:hAnsi="Times New Roman"/>
        </w:rPr>
        <w:t> 754,84</w:t>
      </w:r>
      <w:r w:rsidR="00405B25" w:rsidRPr="00EC490B">
        <w:rPr>
          <w:rFonts w:ascii="Times New Roman" w:hAnsi="Times New Roman"/>
        </w:rPr>
        <w:t xml:space="preserve"> tis. Kč méně oproti schválenému rozpočtu roku 2015</w:t>
      </w:r>
      <w:r w:rsidR="00655D30">
        <w:rPr>
          <w:rFonts w:ascii="Times New Roman" w:hAnsi="Times New Roman"/>
        </w:rPr>
        <w:t>.</w:t>
      </w:r>
    </w:p>
    <w:p w14:paraId="51347853" w14:textId="77777777" w:rsidR="00FE7642" w:rsidRPr="00EC490B" w:rsidRDefault="00FE7642" w:rsidP="005F74C1">
      <w:pPr>
        <w:spacing w:before="120" w:line="240" w:lineRule="auto"/>
        <w:rPr>
          <w:rFonts w:ascii="Times New Roman" w:hAnsi="Times New Roman"/>
          <w:u w:val="single"/>
        </w:rPr>
      </w:pPr>
      <w:r w:rsidRPr="00EC490B">
        <w:rPr>
          <w:rFonts w:ascii="Times New Roman" w:hAnsi="Times New Roman"/>
          <w:u w:val="single"/>
        </w:rPr>
        <w:t>Podpora reprodukce majetku státních kulturních zařízení</w:t>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t>      </w:t>
      </w:r>
      <w:r w:rsidR="005F0BD0" w:rsidRPr="00EC490B">
        <w:rPr>
          <w:rFonts w:ascii="Times New Roman" w:hAnsi="Times New Roman"/>
          <w:u w:val="single"/>
        </w:rPr>
        <w:t>4</w:t>
      </w:r>
      <w:r w:rsidR="00BE252A" w:rsidRPr="00EC490B">
        <w:rPr>
          <w:rFonts w:ascii="Times New Roman" w:hAnsi="Times New Roman"/>
          <w:u w:val="single"/>
        </w:rPr>
        <w:t>12</w:t>
      </w:r>
      <w:r w:rsidR="00386A2C" w:rsidRPr="00EC490B">
        <w:rPr>
          <w:rFonts w:ascii="Times New Roman" w:hAnsi="Times New Roman"/>
          <w:u w:val="single"/>
        </w:rPr>
        <w:t> </w:t>
      </w:r>
      <w:r w:rsidR="00BE252A" w:rsidRPr="00EC490B">
        <w:rPr>
          <w:rFonts w:ascii="Times New Roman" w:hAnsi="Times New Roman"/>
          <w:u w:val="single"/>
        </w:rPr>
        <w:t>137</w:t>
      </w:r>
      <w:r w:rsidR="00386A2C" w:rsidRPr="00EC490B">
        <w:rPr>
          <w:rFonts w:ascii="Times New Roman" w:hAnsi="Times New Roman"/>
          <w:u w:val="single"/>
        </w:rPr>
        <w:t> </w:t>
      </w:r>
      <w:r w:rsidR="00D27CB0" w:rsidRPr="00EC490B">
        <w:rPr>
          <w:rFonts w:ascii="Times New Roman" w:hAnsi="Times New Roman"/>
          <w:u w:val="single"/>
        </w:rPr>
        <w:t>000</w:t>
      </w:r>
      <w:r w:rsidR="00386A2C" w:rsidRPr="00EC490B">
        <w:rPr>
          <w:rFonts w:ascii="Times New Roman" w:hAnsi="Times New Roman"/>
          <w:u w:val="single"/>
        </w:rPr>
        <w:t> </w:t>
      </w:r>
      <w:r w:rsidRPr="00EC490B">
        <w:rPr>
          <w:rFonts w:ascii="Times New Roman" w:hAnsi="Times New Roman"/>
          <w:u w:val="single"/>
        </w:rPr>
        <w:t>Kč</w:t>
      </w:r>
    </w:p>
    <w:p w14:paraId="51347854" w14:textId="77777777" w:rsidR="00405B25" w:rsidRPr="00EC490B" w:rsidRDefault="00405B25" w:rsidP="005F74C1">
      <w:pPr>
        <w:spacing w:before="120" w:line="240" w:lineRule="auto"/>
        <w:rPr>
          <w:rFonts w:ascii="Times New Roman" w:hAnsi="Times New Roman"/>
        </w:rPr>
      </w:pPr>
      <w:r w:rsidRPr="00EC490B">
        <w:rPr>
          <w:rFonts w:ascii="Times New Roman" w:hAnsi="Times New Roman"/>
        </w:rPr>
        <w:t xml:space="preserve">V rámci podprogramu 134V112 je </w:t>
      </w:r>
      <w:r w:rsidR="00696F40">
        <w:rPr>
          <w:rFonts w:ascii="Times New Roman" w:hAnsi="Times New Roman"/>
        </w:rPr>
        <w:t xml:space="preserve">rozpočtovaný </w:t>
      </w:r>
      <w:r w:rsidRPr="00EC490B">
        <w:rPr>
          <w:rFonts w:ascii="Times New Roman" w:hAnsi="Times New Roman"/>
        </w:rPr>
        <w:t xml:space="preserve">objem výdajů ve výši </w:t>
      </w:r>
      <w:r w:rsidR="005F0BD0" w:rsidRPr="00EC490B">
        <w:rPr>
          <w:rFonts w:ascii="Times New Roman" w:hAnsi="Times New Roman"/>
        </w:rPr>
        <w:t>4</w:t>
      </w:r>
      <w:r w:rsidR="007C278B" w:rsidRPr="00EC490B">
        <w:rPr>
          <w:rFonts w:ascii="Times New Roman" w:hAnsi="Times New Roman"/>
        </w:rPr>
        <w:t>12 137</w:t>
      </w:r>
      <w:r w:rsidRPr="00EC490B">
        <w:rPr>
          <w:rFonts w:ascii="Times New Roman" w:hAnsi="Times New Roman"/>
        </w:rPr>
        <w:t xml:space="preserve"> tis. Kč, což</w:t>
      </w:r>
      <w:r w:rsidR="00C429F6">
        <w:rPr>
          <w:rFonts w:ascii="Times New Roman" w:hAnsi="Times New Roman"/>
        </w:rPr>
        <w:t> </w:t>
      </w:r>
      <w:r w:rsidRPr="00EC490B">
        <w:rPr>
          <w:rFonts w:ascii="Times New Roman" w:hAnsi="Times New Roman"/>
        </w:rPr>
        <w:t xml:space="preserve">představuje snížení oproti roku 2015 </w:t>
      </w:r>
      <w:r w:rsidRPr="00314DE1">
        <w:rPr>
          <w:rFonts w:ascii="Times New Roman" w:hAnsi="Times New Roman"/>
        </w:rPr>
        <w:t xml:space="preserve">o </w:t>
      </w:r>
      <w:r w:rsidR="0076650F" w:rsidRPr="00314DE1">
        <w:rPr>
          <w:rFonts w:ascii="Times New Roman" w:hAnsi="Times New Roman"/>
        </w:rPr>
        <w:t>54 851,499</w:t>
      </w:r>
      <w:r w:rsidRPr="00314DE1">
        <w:rPr>
          <w:rFonts w:ascii="Times New Roman" w:hAnsi="Times New Roman"/>
        </w:rPr>
        <w:t xml:space="preserve"> tis. Kč</w:t>
      </w:r>
      <w:r w:rsidR="006B71DF" w:rsidRPr="00314DE1">
        <w:rPr>
          <w:rFonts w:ascii="Times New Roman" w:hAnsi="Times New Roman"/>
        </w:rPr>
        <w:t>, tj. o 13,31 %</w:t>
      </w:r>
      <w:r w:rsidR="00CF1BA3" w:rsidRPr="00314DE1">
        <w:rPr>
          <w:rFonts w:ascii="Times New Roman" w:hAnsi="Times New Roman"/>
        </w:rPr>
        <w:t>.</w:t>
      </w:r>
      <w:r w:rsidR="00CF1BA3" w:rsidRPr="00EC490B">
        <w:rPr>
          <w:rFonts w:ascii="Times New Roman" w:hAnsi="Times New Roman"/>
        </w:rPr>
        <w:t xml:space="preserve"> </w:t>
      </w:r>
      <w:r w:rsidRPr="00EC490B">
        <w:rPr>
          <w:rFonts w:ascii="Times New Roman" w:hAnsi="Times New Roman"/>
        </w:rPr>
        <w:t xml:space="preserve">V roce 2016 alokované finanční prostředky umožní </w:t>
      </w:r>
      <w:r w:rsidR="006B71DF" w:rsidRPr="00EC490B">
        <w:rPr>
          <w:rFonts w:ascii="Times New Roman" w:hAnsi="Times New Roman"/>
        </w:rPr>
        <w:t xml:space="preserve">plynulé </w:t>
      </w:r>
      <w:r w:rsidRPr="00EC490B">
        <w:rPr>
          <w:rFonts w:ascii="Times New Roman" w:hAnsi="Times New Roman"/>
        </w:rPr>
        <w:t>pokračování realizací akcí pouze menšího</w:t>
      </w:r>
      <w:r w:rsidR="00C429F6">
        <w:rPr>
          <w:rFonts w:ascii="Times New Roman" w:hAnsi="Times New Roman"/>
        </w:rPr>
        <w:t xml:space="preserve"> </w:t>
      </w:r>
      <w:r w:rsidRPr="00EC490B">
        <w:rPr>
          <w:rFonts w:ascii="Times New Roman" w:hAnsi="Times New Roman"/>
        </w:rPr>
        <w:t>až</w:t>
      </w:r>
      <w:r w:rsidR="00C429F6">
        <w:rPr>
          <w:rFonts w:ascii="Times New Roman" w:hAnsi="Times New Roman"/>
        </w:rPr>
        <w:t> </w:t>
      </w:r>
      <w:r w:rsidRPr="00EC490B">
        <w:rPr>
          <w:rFonts w:ascii="Times New Roman" w:hAnsi="Times New Roman"/>
        </w:rPr>
        <w:t xml:space="preserve">středního rozsahu u Národního památkového ústavu, Valašského muzea v přírodě, Slezského zemského muzea v Opavě, Památníku Lidice, Národního muzea, Národní galerie, Husitského muzea v Táboře, Moravského zemského muzea, Muzea umění Olomouc, Technického muzea v Brně, </w:t>
      </w:r>
      <w:r w:rsidR="006B71DF" w:rsidRPr="00EC490B">
        <w:rPr>
          <w:rFonts w:ascii="Times New Roman" w:hAnsi="Times New Roman"/>
        </w:rPr>
        <w:t xml:space="preserve">Moravské galerie, </w:t>
      </w:r>
      <w:r w:rsidRPr="00EC490B">
        <w:rPr>
          <w:rFonts w:ascii="Times New Roman" w:hAnsi="Times New Roman"/>
        </w:rPr>
        <w:t>NÚLK Strážnice</w:t>
      </w:r>
      <w:r w:rsidR="006B71DF" w:rsidRPr="00EC490B">
        <w:rPr>
          <w:rFonts w:ascii="Times New Roman" w:hAnsi="Times New Roman"/>
        </w:rPr>
        <w:t>, Muzea loutkářských kultur</w:t>
      </w:r>
      <w:r w:rsidRPr="00EC490B">
        <w:rPr>
          <w:rFonts w:ascii="Times New Roman" w:hAnsi="Times New Roman"/>
        </w:rPr>
        <w:t xml:space="preserve">. </w:t>
      </w:r>
      <w:r w:rsidR="006B71DF" w:rsidRPr="00EC490B">
        <w:rPr>
          <w:rFonts w:ascii="Times New Roman" w:hAnsi="Times New Roman"/>
        </w:rPr>
        <w:t>Správa tohoto podprogramu bude zaměřena na řešení vysoké míry rozpracovanosti především u akcí, které mají termín dokončení v roce 2016.</w:t>
      </w:r>
      <w:r w:rsidR="00EC490B" w:rsidRPr="00EC490B">
        <w:rPr>
          <w:rFonts w:ascii="Times New Roman" w:hAnsi="Times New Roman"/>
        </w:rPr>
        <w:t xml:space="preserve"> I nadále je zapotřebí konstatovat, že výše výdajů v tomto </w:t>
      </w:r>
      <w:r w:rsidR="00C429F6">
        <w:rPr>
          <w:rFonts w:ascii="Times New Roman" w:hAnsi="Times New Roman"/>
        </w:rPr>
        <w:t>pod</w:t>
      </w:r>
      <w:r w:rsidR="00EC490B" w:rsidRPr="00EC490B">
        <w:rPr>
          <w:rFonts w:ascii="Times New Roman" w:hAnsi="Times New Roman"/>
        </w:rPr>
        <w:t>programu je dlouhodobě nedostatečná, nepokrývá oprávněné požadavky resortu v oblasti řádné péče o státní majetek.</w:t>
      </w:r>
    </w:p>
    <w:p w14:paraId="51347855" w14:textId="77777777" w:rsidR="00025E99" w:rsidRPr="00EC490B" w:rsidRDefault="00025E99" w:rsidP="005F74C1">
      <w:pPr>
        <w:spacing w:before="120" w:line="240" w:lineRule="auto"/>
        <w:rPr>
          <w:rFonts w:ascii="Times New Roman" w:hAnsi="Times New Roman"/>
          <w:u w:val="single"/>
        </w:rPr>
      </w:pPr>
      <w:r w:rsidRPr="00EC490B">
        <w:rPr>
          <w:rFonts w:ascii="Times New Roman" w:hAnsi="Times New Roman"/>
          <w:u w:val="single"/>
        </w:rPr>
        <w:t>Náhrada úbytku objektů kulturních zařízení</w:t>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t> </w:t>
      </w:r>
      <w:r w:rsidR="00596C47" w:rsidRPr="00EC490B">
        <w:rPr>
          <w:rFonts w:ascii="Times New Roman" w:hAnsi="Times New Roman"/>
          <w:u w:val="single"/>
        </w:rPr>
        <w:t>0 Kč</w:t>
      </w:r>
    </w:p>
    <w:p w14:paraId="51347856" w14:textId="77777777" w:rsidR="00025E99" w:rsidRPr="00EC490B" w:rsidRDefault="00025E99" w:rsidP="00EC490B">
      <w:pPr>
        <w:spacing w:before="120" w:line="240" w:lineRule="auto"/>
        <w:rPr>
          <w:rFonts w:ascii="Times New Roman" w:hAnsi="Times New Roman"/>
        </w:rPr>
      </w:pPr>
      <w:r w:rsidRPr="00EC490B">
        <w:rPr>
          <w:rFonts w:ascii="Times New Roman" w:hAnsi="Times New Roman"/>
        </w:rPr>
        <w:t xml:space="preserve">V rámci tohoto podprogramu nejsou </w:t>
      </w:r>
      <w:r w:rsidR="00696F40">
        <w:rPr>
          <w:rFonts w:ascii="Times New Roman" w:hAnsi="Times New Roman"/>
        </w:rPr>
        <w:t>rozpočtovány</w:t>
      </w:r>
      <w:r w:rsidRPr="00EC490B">
        <w:rPr>
          <w:rFonts w:ascii="Times New Roman" w:hAnsi="Times New Roman"/>
        </w:rPr>
        <w:t xml:space="preserve"> žádn</w:t>
      </w:r>
      <w:r w:rsidR="00EC490B" w:rsidRPr="00EC490B">
        <w:rPr>
          <w:rFonts w:ascii="Times New Roman" w:hAnsi="Times New Roman"/>
        </w:rPr>
        <w:t>é objemy finančních prostředků.</w:t>
      </w:r>
    </w:p>
    <w:p w14:paraId="51347857" w14:textId="77777777" w:rsidR="00025E99" w:rsidRPr="00EC490B" w:rsidRDefault="00025E99" w:rsidP="005F74C1">
      <w:pPr>
        <w:spacing w:before="120" w:line="240" w:lineRule="auto"/>
        <w:rPr>
          <w:rFonts w:ascii="Times New Roman" w:hAnsi="Times New Roman"/>
          <w:u w:val="single"/>
        </w:rPr>
      </w:pPr>
      <w:r w:rsidRPr="00EC490B">
        <w:rPr>
          <w:rFonts w:ascii="Times New Roman" w:hAnsi="Times New Roman"/>
          <w:u w:val="single"/>
        </w:rPr>
        <w:lastRenderedPageBreak/>
        <w:t>Podpora realizace úsporných energetických opatření</w:t>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t>         10 000 000 Kč</w:t>
      </w:r>
    </w:p>
    <w:p w14:paraId="51347858" w14:textId="77777777" w:rsidR="00405B25" w:rsidRPr="00EC490B" w:rsidRDefault="00A73970" w:rsidP="00EC490B">
      <w:pPr>
        <w:spacing w:before="120" w:line="240" w:lineRule="auto"/>
        <w:rPr>
          <w:rFonts w:ascii="Times New Roman" w:hAnsi="Times New Roman"/>
        </w:rPr>
      </w:pPr>
      <w:r>
        <w:rPr>
          <w:rFonts w:ascii="Times New Roman" w:hAnsi="Times New Roman"/>
        </w:rPr>
        <w:t xml:space="preserve">Schválený </w:t>
      </w:r>
      <w:r w:rsidR="00405B25" w:rsidRPr="00EC490B">
        <w:rPr>
          <w:rFonts w:ascii="Times New Roman" w:hAnsi="Times New Roman"/>
        </w:rPr>
        <w:t>rozpoč</w:t>
      </w:r>
      <w:r>
        <w:rPr>
          <w:rFonts w:ascii="Times New Roman" w:hAnsi="Times New Roman"/>
        </w:rPr>
        <w:t>e</w:t>
      </w:r>
      <w:r w:rsidR="00405B25" w:rsidRPr="00EC490B">
        <w:rPr>
          <w:rFonts w:ascii="Times New Roman" w:hAnsi="Times New Roman"/>
        </w:rPr>
        <w:t xml:space="preserve">t na rok 2016 ve výši 10 000 tis. Kč v rámci podprogramu </w:t>
      </w:r>
      <w:r w:rsidR="00C429F6">
        <w:rPr>
          <w:rFonts w:ascii="Times New Roman" w:hAnsi="Times New Roman"/>
        </w:rPr>
        <w:t>134V115</w:t>
      </w:r>
      <w:r w:rsidR="00405B25" w:rsidRPr="00EC490B">
        <w:rPr>
          <w:rFonts w:ascii="Times New Roman" w:hAnsi="Times New Roman"/>
        </w:rPr>
        <w:t xml:space="preserve"> plně odráží reálnou potřebu na podporu realizace energetických opatření v rámci resortu. Totožný </w:t>
      </w:r>
      <w:r>
        <w:rPr>
          <w:rFonts w:ascii="Times New Roman" w:hAnsi="Times New Roman"/>
        </w:rPr>
        <w:t xml:space="preserve">objem </w:t>
      </w:r>
      <w:r w:rsidR="00405B25" w:rsidRPr="00EC490B">
        <w:rPr>
          <w:rFonts w:ascii="Times New Roman" w:hAnsi="Times New Roman"/>
        </w:rPr>
        <w:t>je upla</w:t>
      </w:r>
      <w:r w:rsidR="00EC490B" w:rsidRPr="00EC490B">
        <w:rPr>
          <w:rFonts w:ascii="Times New Roman" w:hAnsi="Times New Roman"/>
        </w:rPr>
        <w:t>tněn i ve střednědobém výhledu.</w:t>
      </w:r>
    </w:p>
    <w:p w14:paraId="51347859" w14:textId="77777777" w:rsidR="00405B25" w:rsidRPr="00EC490B" w:rsidRDefault="00405B25" w:rsidP="005F74C1">
      <w:pPr>
        <w:spacing w:before="120" w:line="240" w:lineRule="auto"/>
        <w:rPr>
          <w:rFonts w:ascii="Times New Roman" w:hAnsi="Times New Roman"/>
          <w:u w:val="single"/>
        </w:rPr>
      </w:pPr>
      <w:r w:rsidRPr="00EC490B">
        <w:rPr>
          <w:rFonts w:ascii="Times New Roman" w:hAnsi="Times New Roman"/>
          <w:u w:val="single"/>
        </w:rPr>
        <w:t>Podpora reprodukce majetku státních kulturních zařízení</w:t>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r>
      <w:r w:rsidR="00386A2C" w:rsidRPr="00EC490B">
        <w:rPr>
          <w:rFonts w:ascii="Times New Roman" w:hAnsi="Times New Roman"/>
          <w:u w:val="single"/>
        </w:rPr>
        <w:t> 0 Kč</w:t>
      </w:r>
    </w:p>
    <w:p w14:paraId="5134785A" w14:textId="77777777" w:rsidR="00405B25" w:rsidRPr="00EC490B" w:rsidRDefault="00C429F6" w:rsidP="00EC490B">
      <w:pPr>
        <w:spacing w:before="120" w:line="240" w:lineRule="auto"/>
        <w:rPr>
          <w:rFonts w:ascii="Times New Roman" w:hAnsi="Times New Roman"/>
        </w:rPr>
      </w:pPr>
      <w:r>
        <w:rPr>
          <w:rFonts w:ascii="Times New Roman" w:hAnsi="Times New Roman"/>
        </w:rPr>
        <w:t>U p</w:t>
      </w:r>
      <w:r w:rsidR="00405B25" w:rsidRPr="00EC490B">
        <w:rPr>
          <w:rFonts w:ascii="Times New Roman" w:hAnsi="Times New Roman"/>
        </w:rPr>
        <w:t>odprogram</w:t>
      </w:r>
      <w:r>
        <w:rPr>
          <w:rFonts w:ascii="Times New Roman" w:hAnsi="Times New Roman"/>
        </w:rPr>
        <w:t>u</w:t>
      </w:r>
      <w:r w:rsidR="00405B25" w:rsidRPr="00EC490B">
        <w:rPr>
          <w:rFonts w:ascii="Times New Roman" w:hAnsi="Times New Roman"/>
        </w:rPr>
        <w:t xml:space="preserve"> 234V112 </w:t>
      </w:r>
      <w:r>
        <w:rPr>
          <w:rFonts w:ascii="Times New Roman" w:hAnsi="Times New Roman"/>
        </w:rPr>
        <w:t xml:space="preserve">bylo plánováno </w:t>
      </w:r>
      <w:r w:rsidR="00405B25" w:rsidRPr="00EC490B">
        <w:rPr>
          <w:rFonts w:ascii="Times New Roman" w:hAnsi="Times New Roman"/>
        </w:rPr>
        <w:t>ukončen</w:t>
      </w:r>
      <w:r>
        <w:rPr>
          <w:rFonts w:ascii="Times New Roman" w:hAnsi="Times New Roman"/>
        </w:rPr>
        <w:t>í</w:t>
      </w:r>
      <w:r w:rsidR="00405B25" w:rsidRPr="00EC490B">
        <w:rPr>
          <w:rFonts w:ascii="Times New Roman" w:hAnsi="Times New Roman"/>
        </w:rPr>
        <w:t xml:space="preserve"> v roce 2015</w:t>
      </w:r>
      <w:r>
        <w:rPr>
          <w:rFonts w:ascii="Times New Roman" w:hAnsi="Times New Roman"/>
        </w:rPr>
        <w:t xml:space="preserve">, proto zde nejsou zařazeny žádné prostředky. </w:t>
      </w:r>
    </w:p>
    <w:p w14:paraId="5134785B" w14:textId="77777777" w:rsidR="005E5C15" w:rsidRPr="00EC490B" w:rsidRDefault="00025E99" w:rsidP="00C429F6">
      <w:pPr>
        <w:spacing w:before="120" w:line="240" w:lineRule="auto"/>
        <w:rPr>
          <w:rFonts w:ascii="Times New Roman" w:hAnsi="Times New Roman"/>
          <w:u w:val="single"/>
        </w:rPr>
      </w:pPr>
      <w:r w:rsidRPr="00EC490B">
        <w:rPr>
          <w:rFonts w:ascii="Times New Roman" w:hAnsi="Times New Roman"/>
          <w:u w:val="single"/>
        </w:rPr>
        <w:t>Podpora záchrany, obnovy a revitalizace</w:t>
      </w:r>
    </w:p>
    <w:p w14:paraId="5134785C" w14:textId="77777777" w:rsidR="005E5C15" w:rsidRPr="00EC490B" w:rsidRDefault="00025E99" w:rsidP="005E5C15">
      <w:pPr>
        <w:spacing w:line="240" w:lineRule="auto"/>
        <w:rPr>
          <w:rFonts w:ascii="Times New Roman" w:hAnsi="Times New Roman"/>
          <w:u w:val="single"/>
        </w:rPr>
      </w:pPr>
      <w:r w:rsidRPr="00EC490B">
        <w:rPr>
          <w:rFonts w:ascii="Times New Roman" w:hAnsi="Times New Roman"/>
          <w:u w:val="single"/>
        </w:rPr>
        <w:t>kulturních památek EHP/Norsko</w:t>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r>
      <w:r w:rsidR="005E5C15" w:rsidRPr="00EC490B">
        <w:rPr>
          <w:rFonts w:ascii="Times New Roman" w:hAnsi="Times New Roman"/>
          <w:u w:val="single"/>
        </w:rPr>
        <w:t>           </w:t>
      </w:r>
      <w:r w:rsidR="00386A2C" w:rsidRPr="00EC490B">
        <w:rPr>
          <w:rFonts w:ascii="Times New Roman" w:hAnsi="Times New Roman"/>
          <w:u w:val="single"/>
        </w:rPr>
        <w:t> 0 Kč</w:t>
      </w:r>
      <w:r w:rsidR="005E5C15" w:rsidRPr="00EC490B">
        <w:rPr>
          <w:rFonts w:ascii="Times New Roman" w:hAnsi="Times New Roman"/>
          <w:u w:val="single"/>
        </w:rPr>
        <w:t> </w:t>
      </w:r>
    </w:p>
    <w:p w14:paraId="5134785D" w14:textId="77777777" w:rsidR="00410C7A" w:rsidRPr="00EC490B" w:rsidRDefault="00025E99" w:rsidP="005E5C15">
      <w:pPr>
        <w:spacing w:before="120" w:line="240" w:lineRule="auto"/>
        <w:rPr>
          <w:rFonts w:ascii="Times New Roman" w:hAnsi="Times New Roman"/>
        </w:rPr>
      </w:pPr>
      <w:r w:rsidRPr="00EC490B">
        <w:rPr>
          <w:rFonts w:ascii="Times New Roman" w:hAnsi="Times New Roman"/>
        </w:rPr>
        <w:t xml:space="preserve">Podprogram odpovídá zaměření a cílům Programové oblasti 16 „Kulturní dědictví“ v rámci Programu CZ06 „Kulturní dědictví a současné umění“, který je pro </w:t>
      </w:r>
      <w:r w:rsidR="00C429F6">
        <w:rPr>
          <w:rFonts w:ascii="Times New Roman" w:hAnsi="Times New Roman"/>
        </w:rPr>
        <w:t xml:space="preserve">příspěvkové organizace Ministerstva kulty </w:t>
      </w:r>
      <w:r w:rsidRPr="00EC490B">
        <w:rPr>
          <w:rFonts w:ascii="Times New Roman" w:hAnsi="Times New Roman"/>
        </w:rPr>
        <w:t>z max. 80% financován z finančních mechanismů EHP, tzv. norských fondů. Mimo movitých a nemovitých kulturních památek se realizace záchrany, obnovy a</w:t>
      </w:r>
      <w:r w:rsidR="00C429F6">
        <w:rPr>
          <w:rFonts w:ascii="Times New Roman" w:hAnsi="Times New Roman"/>
        </w:rPr>
        <w:t> </w:t>
      </w:r>
      <w:r w:rsidRPr="00EC490B">
        <w:rPr>
          <w:rFonts w:ascii="Times New Roman" w:hAnsi="Times New Roman"/>
        </w:rPr>
        <w:t>revitalizace t</w:t>
      </w:r>
      <w:r w:rsidR="00A10220" w:rsidRPr="00EC490B">
        <w:rPr>
          <w:rFonts w:ascii="Times New Roman" w:hAnsi="Times New Roman"/>
        </w:rPr>
        <w:t xml:space="preserve">ýká </w:t>
      </w:r>
      <w:r w:rsidRPr="00EC490B">
        <w:rPr>
          <w:rFonts w:ascii="Times New Roman" w:hAnsi="Times New Roman"/>
        </w:rPr>
        <w:t xml:space="preserve">písemného kulturního dědictví a sbírek muzejní povahy. V podprogramu 234V114 nejsou na rok 2016 finanční prostředky </w:t>
      </w:r>
      <w:r w:rsidR="00A73970">
        <w:rPr>
          <w:rFonts w:ascii="Times New Roman" w:hAnsi="Times New Roman"/>
        </w:rPr>
        <w:t>zařazeny</w:t>
      </w:r>
      <w:r w:rsidRPr="00EC490B">
        <w:rPr>
          <w:rFonts w:ascii="Times New Roman" w:hAnsi="Times New Roman"/>
        </w:rPr>
        <w:t>, stávající projekty budou hrazeny z nároků z nespotřebovaných výdajů.</w:t>
      </w:r>
      <w:r w:rsidR="00516417" w:rsidRPr="00EC490B">
        <w:rPr>
          <w:rFonts w:ascii="Times New Roman" w:hAnsi="Times New Roman"/>
        </w:rPr>
        <w:t xml:space="preserve"> </w:t>
      </w:r>
    </w:p>
    <w:p w14:paraId="5134785E" w14:textId="77777777" w:rsidR="00025E99" w:rsidRPr="00EC490B" w:rsidRDefault="00025E99" w:rsidP="005F74C1">
      <w:pPr>
        <w:spacing w:before="120" w:line="240" w:lineRule="auto"/>
        <w:rPr>
          <w:rFonts w:ascii="Times New Roman" w:hAnsi="Times New Roman"/>
          <w:u w:val="single"/>
        </w:rPr>
      </w:pPr>
      <w:r w:rsidRPr="00EC490B">
        <w:rPr>
          <w:rFonts w:ascii="Times New Roman" w:hAnsi="Times New Roman"/>
          <w:u w:val="single"/>
        </w:rPr>
        <w:t>Národní podpora využití potenciálu kulturního dědictví a technická pomoc IOP</w:t>
      </w:r>
      <w:r w:rsidR="00596C47" w:rsidRPr="00EC490B">
        <w:rPr>
          <w:rFonts w:ascii="Times New Roman" w:hAnsi="Times New Roman"/>
          <w:u w:val="single"/>
        </w:rPr>
        <w:tab/>
      </w:r>
      <w:r w:rsidR="00596C47" w:rsidRPr="00EC490B">
        <w:rPr>
          <w:rFonts w:ascii="Times New Roman" w:hAnsi="Times New Roman"/>
          <w:u w:val="single"/>
        </w:rPr>
        <w:tab/>
      </w:r>
      <w:r w:rsidR="00386A2C" w:rsidRPr="00EC490B">
        <w:rPr>
          <w:rFonts w:ascii="Times New Roman" w:hAnsi="Times New Roman"/>
          <w:u w:val="single"/>
        </w:rPr>
        <w:t> 0 Kč</w:t>
      </w:r>
    </w:p>
    <w:p w14:paraId="5134785F" w14:textId="77777777" w:rsidR="00025E99" w:rsidRPr="00EC490B" w:rsidRDefault="00025E99" w:rsidP="005F74C1">
      <w:pPr>
        <w:spacing w:before="120" w:line="240" w:lineRule="auto"/>
        <w:rPr>
          <w:rFonts w:ascii="Times New Roman" w:hAnsi="Times New Roman"/>
        </w:rPr>
      </w:pPr>
      <w:r w:rsidRPr="00EC490B">
        <w:rPr>
          <w:rFonts w:ascii="Times New Roman" w:hAnsi="Times New Roman"/>
        </w:rPr>
        <w:t xml:space="preserve">Prostředky na realizaci projektů spolufinancovaných z rozpočtu Evropské unie nejsou </w:t>
      </w:r>
      <w:r w:rsidR="00A73970">
        <w:rPr>
          <w:rFonts w:ascii="Times New Roman" w:hAnsi="Times New Roman"/>
        </w:rPr>
        <w:t xml:space="preserve">zařazeny, </w:t>
      </w:r>
      <w:r w:rsidR="000F2057" w:rsidRPr="00EC490B">
        <w:rPr>
          <w:rFonts w:ascii="Times New Roman" w:hAnsi="Times New Roman"/>
        </w:rPr>
        <w:t>jedná se o projekty končícího programového období</w:t>
      </w:r>
      <w:r w:rsidRPr="00EC490B">
        <w:rPr>
          <w:rFonts w:ascii="Times New Roman" w:hAnsi="Times New Roman"/>
        </w:rPr>
        <w:t xml:space="preserve"> v rámci prioritní osy </w:t>
      </w:r>
      <w:r w:rsidR="00A10220" w:rsidRPr="00EC490B">
        <w:rPr>
          <w:rFonts w:ascii="Times New Roman" w:hAnsi="Times New Roman"/>
          <w:highlight w:val="yellow"/>
        </w:rPr>
        <w:br/>
      </w:r>
      <w:r w:rsidRPr="00EC490B">
        <w:rPr>
          <w:rFonts w:ascii="Times New Roman" w:hAnsi="Times New Roman"/>
        </w:rPr>
        <w:t>5 – „Národní podpora územního rozvoje“, oblast intervence 5.1 – Národní podpora využití potenciálu kulturního dědictví</w:t>
      </w:r>
      <w:r w:rsidR="000F2057" w:rsidRPr="00EC490B">
        <w:rPr>
          <w:rFonts w:ascii="Times New Roman" w:hAnsi="Times New Roman"/>
        </w:rPr>
        <w:t xml:space="preserve">, podprogram 234V11G. </w:t>
      </w:r>
    </w:p>
    <w:p w14:paraId="51347860" w14:textId="77777777" w:rsidR="000F2057" w:rsidRPr="00EC490B" w:rsidRDefault="000F2057" w:rsidP="005F74C1">
      <w:pPr>
        <w:spacing w:before="120" w:line="240" w:lineRule="auto"/>
        <w:rPr>
          <w:rFonts w:ascii="Times New Roman" w:hAnsi="Times New Roman"/>
          <w:u w:val="single"/>
        </w:rPr>
      </w:pPr>
      <w:r w:rsidRPr="00EC490B">
        <w:rPr>
          <w:rFonts w:ascii="Times New Roman" w:hAnsi="Times New Roman"/>
          <w:u w:val="single"/>
        </w:rPr>
        <w:t>Rozvoj informační společnosti ve veřejné správě – ERDF</w:t>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r>
      <w:r w:rsidR="00596C47" w:rsidRPr="00EC490B">
        <w:rPr>
          <w:rFonts w:ascii="Times New Roman" w:hAnsi="Times New Roman"/>
          <w:u w:val="single"/>
        </w:rPr>
        <w:tab/>
      </w:r>
      <w:r w:rsidR="00386A2C" w:rsidRPr="00EC490B">
        <w:rPr>
          <w:rFonts w:ascii="Times New Roman" w:hAnsi="Times New Roman"/>
          <w:u w:val="single"/>
        </w:rPr>
        <w:t>   </w:t>
      </w:r>
      <w:r w:rsidR="00596C47" w:rsidRPr="00EC490B">
        <w:rPr>
          <w:rFonts w:ascii="Times New Roman" w:hAnsi="Times New Roman"/>
          <w:u w:val="single"/>
        </w:rPr>
        <w:t>         </w:t>
      </w:r>
      <w:r w:rsidR="00386A2C" w:rsidRPr="00EC490B">
        <w:rPr>
          <w:rFonts w:ascii="Times New Roman" w:hAnsi="Times New Roman"/>
          <w:u w:val="single"/>
        </w:rPr>
        <w:t> 0 Kč</w:t>
      </w:r>
    </w:p>
    <w:p w14:paraId="51347861" w14:textId="77777777" w:rsidR="000F2057" w:rsidRPr="00EC490B" w:rsidRDefault="000F2057" w:rsidP="005F74C1">
      <w:pPr>
        <w:pStyle w:val="Zhlav"/>
        <w:spacing w:before="120"/>
        <w:rPr>
          <w:rFonts w:ascii="Times New Roman" w:hAnsi="Times New Roman"/>
        </w:rPr>
      </w:pPr>
      <w:r w:rsidRPr="00EC490B">
        <w:rPr>
          <w:rFonts w:ascii="Times New Roman" w:hAnsi="Times New Roman"/>
        </w:rPr>
        <w:t>Předmětem podprogramu 234V117 je podpora projektů financovaných z Integrovaného operačního programu v rámci prioritní osy 1a a 1b v oblasti „ Modernizace veřejné správy a</w:t>
      </w:r>
      <w:r w:rsidR="00C429F6">
        <w:rPr>
          <w:rFonts w:ascii="Times New Roman" w:hAnsi="Times New Roman"/>
        </w:rPr>
        <w:t> </w:t>
      </w:r>
      <w:r w:rsidRPr="00EC490B">
        <w:rPr>
          <w:rFonts w:ascii="Times New Roman" w:hAnsi="Times New Roman"/>
        </w:rPr>
        <w:t xml:space="preserve">oblasti podpory 1.1a, 1.1b – „Rozvoj informační společnosti ve veřejné správě“ a 4.1. Jedná se o projekty končícího programového období, na rok 2016 nejsou </w:t>
      </w:r>
      <w:r w:rsidR="00C429F6">
        <w:rPr>
          <w:rFonts w:ascii="Times New Roman" w:hAnsi="Times New Roman"/>
        </w:rPr>
        <w:t xml:space="preserve">zařazeny </w:t>
      </w:r>
      <w:r w:rsidRPr="00EC490B">
        <w:rPr>
          <w:rFonts w:ascii="Times New Roman" w:hAnsi="Times New Roman"/>
        </w:rPr>
        <w:t>rozpočtové prostředky.</w:t>
      </w:r>
    </w:p>
    <w:p w14:paraId="51347862" w14:textId="77777777" w:rsidR="000F2057" w:rsidRPr="00EC490B" w:rsidRDefault="000F2057" w:rsidP="00C429F6">
      <w:pPr>
        <w:spacing w:before="120" w:line="240" w:lineRule="auto"/>
        <w:rPr>
          <w:rFonts w:ascii="Times New Roman" w:hAnsi="Times New Roman"/>
          <w:u w:val="single"/>
        </w:rPr>
      </w:pPr>
      <w:r w:rsidRPr="00EC490B">
        <w:rPr>
          <w:rFonts w:ascii="Times New Roman" w:hAnsi="Times New Roman"/>
          <w:u w:val="single"/>
        </w:rPr>
        <w:t>Operační program životní prostředí – ERDF</w:t>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r>
      <w:r w:rsidRPr="00EC490B">
        <w:rPr>
          <w:rFonts w:ascii="Times New Roman" w:hAnsi="Times New Roman"/>
          <w:u w:val="single"/>
        </w:rPr>
        <w:tab/>
      </w:r>
      <w:r w:rsidR="00386A2C" w:rsidRPr="00EC490B">
        <w:rPr>
          <w:rFonts w:ascii="Times New Roman" w:hAnsi="Times New Roman"/>
          <w:u w:val="single"/>
        </w:rPr>
        <w:t> </w:t>
      </w:r>
      <w:r w:rsidRPr="00EC490B">
        <w:rPr>
          <w:rFonts w:ascii="Times New Roman" w:hAnsi="Times New Roman"/>
          <w:u w:val="single"/>
        </w:rPr>
        <w:t>           0 Kč</w:t>
      </w:r>
    </w:p>
    <w:p w14:paraId="51347863" w14:textId="77777777" w:rsidR="000F2057" w:rsidRPr="00EC490B" w:rsidRDefault="000F2057" w:rsidP="005F74C1">
      <w:pPr>
        <w:pStyle w:val="Zhlav"/>
        <w:spacing w:before="120"/>
        <w:rPr>
          <w:rFonts w:ascii="Times New Roman" w:hAnsi="Times New Roman"/>
        </w:rPr>
      </w:pPr>
      <w:r w:rsidRPr="00EC490B">
        <w:rPr>
          <w:rFonts w:ascii="Times New Roman" w:hAnsi="Times New Roman"/>
        </w:rPr>
        <w:t>Podprogram Operační program Životního prostředí 234V119 nabízí v letech 2007 až 2013 finanční prostředky z Fondu soudržnosti a Evropského fondu pro regionální rozvoj. Jedná se</w:t>
      </w:r>
      <w:r w:rsidR="005E5C15" w:rsidRPr="00EC490B">
        <w:rPr>
          <w:rFonts w:ascii="Times New Roman" w:hAnsi="Times New Roman"/>
        </w:rPr>
        <w:t xml:space="preserve"> </w:t>
      </w:r>
      <w:r w:rsidRPr="00EC490B">
        <w:rPr>
          <w:rFonts w:ascii="Times New Roman" w:hAnsi="Times New Roman"/>
        </w:rPr>
        <w:t>o</w:t>
      </w:r>
      <w:r w:rsidR="00C429F6">
        <w:rPr>
          <w:rFonts w:ascii="Times New Roman" w:hAnsi="Times New Roman"/>
        </w:rPr>
        <w:t> </w:t>
      </w:r>
      <w:r w:rsidRPr="00EC490B">
        <w:rPr>
          <w:rFonts w:ascii="Times New Roman" w:hAnsi="Times New Roman"/>
        </w:rPr>
        <w:t xml:space="preserve">projekty končícího programového období, rozpočtové prostředky nejsou na rok 2016 </w:t>
      </w:r>
      <w:r w:rsidR="00C429F6">
        <w:rPr>
          <w:rFonts w:ascii="Times New Roman" w:hAnsi="Times New Roman"/>
        </w:rPr>
        <w:t>zařazeny</w:t>
      </w:r>
      <w:r w:rsidRPr="00EC490B">
        <w:rPr>
          <w:rFonts w:ascii="Times New Roman" w:hAnsi="Times New Roman"/>
        </w:rPr>
        <w:t>.</w:t>
      </w:r>
    </w:p>
    <w:p w14:paraId="51347864" w14:textId="77777777" w:rsidR="00F86015" w:rsidRDefault="00F86015">
      <w:pPr>
        <w:spacing w:after="200"/>
        <w:jc w:val="left"/>
        <w:rPr>
          <w:rFonts w:ascii="Times New Roman" w:hAnsi="Times New Roman"/>
        </w:rPr>
      </w:pPr>
    </w:p>
    <w:p w14:paraId="51347865" w14:textId="77777777" w:rsidR="000F2057" w:rsidRPr="00062651" w:rsidRDefault="000F2057" w:rsidP="007D3FA6">
      <w:pPr>
        <w:spacing w:before="120" w:line="240" w:lineRule="auto"/>
        <w:ind w:left="708" w:hanging="708"/>
        <w:jc w:val="left"/>
        <w:rPr>
          <w:rFonts w:ascii="Times New Roman" w:hAnsi="Times New Roman"/>
          <w:b/>
        </w:rPr>
      </w:pPr>
      <w:r w:rsidRPr="00062651">
        <w:rPr>
          <w:rFonts w:ascii="Times New Roman" w:hAnsi="Times New Roman"/>
          <w:b/>
        </w:rPr>
        <w:t>d)</w:t>
      </w:r>
      <w:r w:rsidRPr="00062651">
        <w:rPr>
          <w:rFonts w:ascii="Times New Roman" w:hAnsi="Times New Roman"/>
          <w:b/>
        </w:rPr>
        <w:tab/>
        <w:t xml:space="preserve">společné projekty spolufinancované z prostředků </w:t>
      </w:r>
      <w:r w:rsidRPr="00062651">
        <w:rPr>
          <w:rFonts w:ascii="Times New Roman" w:hAnsi="Times New Roman"/>
          <w:b/>
        </w:rPr>
        <w:br/>
        <w:t>finančních mechanismů</w:t>
      </w:r>
      <w:r w:rsidRPr="00062651">
        <w:rPr>
          <w:rFonts w:ascii="Times New Roman" w:hAnsi="Times New Roman"/>
          <w:b/>
        </w:rPr>
        <w:tab/>
      </w:r>
      <w:r w:rsidRPr="00062651">
        <w:rPr>
          <w:rFonts w:ascii="Times New Roman" w:hAnsi="Times New Roman"/>
          <w:b/>
        </w:rPr>
        <w:tab/>
      </w:r>
      <w:r w:rsidRPr="00062651">
        <w:rPr>
          <w:rFonts w:ascii="Times New Roman" w:hAnsi="Times New Roman"/>
          <w:b/>
        </w:rPr>
        <w:tab/>
      </w:r>
      <w:r w:rsidRPr="00062651">
        <w:rPr>
          <w:rFonts w:ascii="Times New Roman" w:hAnsi="Times New Roman"/>
          <w:b/>
        </w:rPr>
        <w:tab/>
      </w:r>
      <w:r w:rsidRPr="00062651">
        <w:rPr>
          <w:rFonts w:ascii="Times New Roman" w:hAnsi="Times New Roman"/>
          <w:b/>
        </w:rPr>
        <w:tab/>
      </w:r>
      <w:r w:rsidRPr="00062651">
        <w:rPr>
          <w:rFonts w:ascii="Times New Roman" w:hAnsi="Times New Roman"/>
          <w:b/>
        </w:rPr>
        <w:tab/>
      </w:r>
      <w:r w:rsidRPr="00062651">
        <w:rPr>
          <w:rFonts w:ascii="Times New Roman" w:hAnsi="Times New Roman"/>
          <w:b/>
        </w:rPr>
        <w:tab/>
      </w:r>
      <w:r w:rsidRPr="00062651">
        <w:rPr>
          <w:rFonts w:ascii="Times New Roman" w:hAnsi="Times New Roman"/>
          <w:b/>
        </w:rPr>
        <w:tab/>
      </w:r>
      <w:r w:rsidR="00386A2C" w:rsidRPr="00062651">
        <w:rPr>
          <w:rFonts w:ascii="Times New Roman" w:hAnsi="Times New Roman"/>
          <w:b/>
        </w:rPr>
        <w:t> </w:t>
      </w:r>
      <w:r w:rsidRPr="00062651">
        <w:rPr>
          <w:rFonts w:ascii="Times New Roman" w:hAnsi="Times New Roman"/>
          <w:b/>
        </w:rPr>
        <w:t>0 Kč</w:t>
      </w:r>
    </w:p>
    <w:p w14:paraId="51347866" w14:textId="77777777" w:rsidR="00410C7A" w:rsidRPr="00062651" w:rsidRDefault="00062651" w:rsidP="007D3FA6">
      <w:pPr>
        <w:pStyle w:val="Zhlav"/>
        <w:spacing w:before="120"/>
        <w:rPr>
          <w:rFonts w:ascii="Times New Roman" w:hAnsi="Times New Roman"/>
        </w:rPr>
      </w:pPr>
      <w:r>
        <w:rPr>
          <w:rFonts w:ascii="Times New Roman" w:hAnsi="Times New Roman"/>
        </w:rPr>
        <w:t>Na rok 2016 n</w:t>
      </w:r>
      <w:r w:rsidR="000F2057" w:rsidRPr="00062651">
        <w:rPr>
          <w:rFonts w:ascii="Times New Roman" w:hAnsi="Times New Roman"/>
        </w:rPr>
        <w:t>ejsou alokovány žádné prostředky, jelikož předfinancování a spolufinancování projektů příspěvkových organizací M</w:t>
      </w:r>
      <w:r>
        <w:rPr>
          <w:rFonts w:ascii="Times New Roman" w:hAnsi="Times New Roman"/>
        </w:rPr>
        <w:t xml:space="preserve">inisterstva kultury </w:t>
      </w:r>
      <w:r w:rsidR="000F2057" w:rsidRPr="00062651">
        <w:rPr>
          <w:rFonts w:ascii="Times New Roman" w:hAnsi="Times New Roman"/>
        </w:rPr>
        <w:t>v rámci Finančních mechanismů EHP a Programu CZ06, resp. jeho Programové oblasti č. 1</w:t>
      </w:r>
      <w:r w:rsidR="00D1263B" w:rsidRPr="00062651">
        <w:rPr>
          <w:rFonts w:ascii="Times New Roman" w:hAnsi="Times New Roman"/>
        </w:rPr>
        <w:t>6</w:t>
      </w:r>
      <w:r w:rsidR="000F2057" w:rsidRPr="00062651">
        <w:rPr>
          <w:rFonts w:ascii="Times New Roman" w:hAnsi="Times New Roman"/>
        </w:rPr>
        <w:t xml:space="preserve"> „</w:t>
      </w:r>
      <w:r w:rsidR="00D1263B" w:rsidRPr="00062651">
        <w:rPr>
          <w:rFonts w:ascii="Times New Roman" w:hAnsi="Times New Roman"/>
        </w:rPr>
        <w:t>Kulturní dědictví“ a Programové oblasti č. 17 „Podpora rozmanitosti kultury a umění v rámci evropského kulturního dědictví</w:t>
      </w:r>
      <w:r w:rsidR="000F2057" w:rsidRPr="00062651">
        <w:rPr>
          <w:rFonts w:ascii="Times New Roman" w:hAnsi="Times New Roman"/>
        </w:rPr>
        <w:t>“ je zajištěno z</w:t>
      </w:r>
      <w:r w:rsidR="00D1263B" w:rsidRPr="00062651">
        <w:rPr>
          <w:rFonts w:ascii="Times New Roman" w:hAnsi="Times New Roman"/>
        </w:rPr>
        <w:t xml:space="preserve"> nároků z </w:t>
      </w:r>
      <w:r w:rsidR="000F2057" w:rsidRPr="00062651">
        <w:rPr>
          <w:rFonts w:ascii="Times New Roman" w:hAnsi="Times New Roman"/>
        </w:rPr>
        <w:t xml:space="preserve">nespotřebovaných výdajů. Tyto výdaje budou použity na </w:t>
      </w:r>
      <w:r w:rsidR="00D1263B" w:rsidRPr="00062651">
        <w:rPr>
          <w:rFonts w:ascii="Times New Roman" w:hAnsi="Times New Roman"/>
        </w:rPr>
        <w:t>p</w:t>
      </w:r>
      <w:r w:rsidR="000F2057" w:rsidRPr="00062651">
        <w:rPr>
          <w:rFonts w:ascii="Times New Roman" w:hAnsi="Times New Roman"/>
        </w:rPr>
        <w:t xml:space="preserve">rojekty </w:t>
      </w:r>
      <w:r>
        <w:rPr>
          <w:rFonts w:ascii="Times New Roman" w:hAnsi="Times New Roman"/>
        </w:rPr>
        <w:t xml:space="preserve">příspěvkových organizací Ministerstva kultury </w:t>
      </w:r>
      <w:r w:rsidR="000F2057" w:rsidRPr="00062651">
        <w:rPr>
          <w:rFonts w:ascii="Times New Roman" w:hAnsi="Times New Roman"/>
        </w:rPr>
        <w:t xml:space="preserve">zaměřené na </w:t>
      </w:r>
      <w:r w:rsidR="00D1263B" w:rsidRPr="00062651">
        <w:rPr>
          <w:rFonts w:ascii="Times New Roman" w:hAnsi="Times New Roman"/>
        </w:rPr>
        <w:t xml:space="preserve">obnovu movitého a nemovitého kulturního dědictví a na projekty, které posílí kulturní dialog a evropskou identitu </w:t>
      </w:r>
      <w:r w:rsidR="00D1263B" w:rsidRPr="00062651">
        <w:rPr>
          <w:rFonts w:ascii="Times New Roman" w:hAnsi="Times New Roman"/>
        </w:rPr>
        <w:lastRenderedPageBreak/>
        <w:t xml:space="preserve">prostřednictvím porozumění </w:t>
      </w:r>
      <w:r w:rsidR="000F2057" w:rsidRPr="00062651">
        <w:rPr>
          <w:rFonts w:ascii="Times New Roman" w:hAnsi="Times New Roman"/>
        </w:rPr>
        <w:t xml:space="preserve">kulturní rozmanitosti. Výše spolufinancování </w:t>
      </w:r>
      <w:r w:rsidR="00D1263B" w:rsidRPr="00062651">
        <w:rPr>
          <w:rFonts w:ascii="Times New Roman" w:hAnsi="Times New Roman"/>
        </w:rPr>
        <w:t>v rámci Programové oblasti č. 16 (movité a nemovité kulturní dědictví) činí minimálně 20 %, v rámci Programové oblasti č. 17 (současné umění) minimálně 10 % z celkových uznatelných nákladů na projekt.</w:t>
      </w:r>
      <w:r w:rsidR="00516417" w:rsidRPr="00062651">
        <w:rPr>
          <w:rFonts w:ascii="Times New Roman" w:hAnsi="Times New Roman"/>
        </w:rPr>
        <w:t xml:space="preserve"> </w:t>
      </w:r>
      <w:r w:rsidR="0074356E">
        <w:rPr>
          <w:rFonts w:ascii="Times New Roman" w:hAnsi="Times New Roman"/>
        </w:rPr>
        <w:t>R</w:t>
      </w:r>
      <w:r w:rsidR="00410C7A" w:rsidRPr="00062651">
        <w:rPr>
          <w:rFonts w:ascii="Times New Roman" w:hAnsi="Times New Roman"/>
        </w:rPr>
        <w:t xml:space="preserve">ozpočtové prostředky </w:t>
      </w:r>
      <w:r w:rsidR="00D1263B" w:rsidRPr="00062651">
        <w:rPr>
          <w:rFonts w:ascii="Times New Roman" w:hAnsi="Times New Roman"/>
        </w:rPr>
        <w:t>jsou</w:t>
      </w:r>
      <w:r w:rsidR="00410C7A" w:rsidRPr="00062651">
        <w:rPr>
          <w:rFonts w:ascii="Times New Roman" w:hAnsi="Times New Roman"/>
        </w:rPr>
        <w:t xml:space="preserve"> zahrnuty do střednědobého výhledu na roky 2017 a 2018.</w:t>
      </w:r>
    </w:p>
    <w:p w14:paraId="51347867" w14:textId="77777777" w:rsidR="000F2057" w:rsidRPr="00062651" w:rsidRDefault="000F2057" w:rsidP="00CD40A6">
      <w:pPr>
        <w:pStyle w:val="Zhlav"/>
        <w:spacing w:before="120"/>
        <w:rPr>
          <w:rFonts w:ascii="Times New Roman" w:hAnsi="Times New Roman"/>
        </w:rPr>
      </w:pPr>
      <w:r w:rsidRPr="00062651">
        <w:rPr>
          <w:rFonts w:ascii="Times New Roman" w:hAnsi="Times New Roman"/>
        </w:rPr>
        <w:t>Finanční údaje jsou uvedeny ve Formuláři č. 9/3.</w:t>
      </w:r>
    </w:p>
    <w:p w14:paraId="51347868" w14:textId="77777777" w:rsidR="00062651" w:rsidRPr="00062651" w:rsidRDefault="00062651" w:rsidP="00654D99">
      <w:pPr>
        <w:spacing w:after="120"/>
        <w:ind w:left="709" w:hanging="709"/>
        <w:jc w:val="left"/>
        <w:rPr>
          <w:rFonts w:ascii="Times New Roman" w:hAnsi="Times New Roman"/>
          <w:b/>
        </w:rPr>
      </w:pPr>
    </w:p>
    <w:p w14:paraId="51347869" w14:textId="77777777" w:rsidR="00704770" w:rsidRPr="00062651" w:rsidRDefault="003F230C" w:rsidP="00E543DC">
      <w:pPr>
        <w:ind w:left="708" w:hanging="708"/>
        <w:jc w:val="left"/>
        <w:rPr>
          <w:rFonts w:ascii="Times New Roman" w:hAnsi="Times New Roman"/>
          <w:b/>
        </w:rPr>
      </w:pPr>
      <w:r w:rsidRPr="00062651">
        <w:rPr>
          <w:rFonts w:ascii="Times New Roman" w:hAnsi="Times New Roman"/>
          <w:b/>
        </w:rPr>
        <w:t>e)</w:t>
      </w:r>
      <w:r w:rsidRPr="00062651">
        <w:rPr>
          <w:rFonts w:ascii="Times New Roman" w:hAnsi="Times New Roman"/>
          <w:b/>
        </w:rPr>
        <w:tab/>
        <w:t>Kulturní dědictví ve vlastnictví státu podporované</w:t>
      </w:r>
    </w:p>
    <w:p w14:paraId="5134786A" w14:textId="77777777" w:rsidR="003F230C" w:rsidRPr="00062651" w:rsidRDefault="00704770" w:rsidP="007D3FA6">
      <w:pPr>
        <w:spacing w:after="120"/>
        <w:ind w:left="708" w:firstLine="1"/>
        <w:jc w:val="left"/>
        <w:rPr>
          <w:rFonts w:ascii="Times New Roman" w:hAnsi="Times New Roman"/>
          <w:b/>
        </w:rPr>
      </w:pPr>
      <w:r w:rsidRPr="00062651">
        <w:rPr>
          <w:rFonts w:ascii="Times New Roman" w:hAnsi="Times New Roman"/>
          <w:b/>
        </w:rPr>
        <w:t>evropskými fondy</w:t>
      </w:r>
      <w:r w:rsidRPr="00062651">
        <w:rPr>
          <w:rFonts w:ascii="Times New Roman" w:hAnsi="Times New Roman"/>
          <w:b/>
        </w:rPr>
        <w:tab/>
      </w:r>
      <w:r w:rsidRPr="00062651">
        <w:rPr>
          <w:rFonts w:ascii="Times New Roman" w:hAnsi="Times New Roman"/>
          <w:b/>
        </w:rPr>
        <w:tab/>
      </w:r>
      <w:r w:rsidRPr="00062651">
        <w:rPr>
          <w:rFonts w:ascii="Times New Roman" w:hAnsi="Times New Roman"/>
          <w:b/>
        </w:rPr>
        <w:tab/>
      </w:r>
      <w:r w:rsidRPr="00062651">
        <w:rPr>
          <w:rFonts w:ascii="Times New Roman" w:hAnsi="Times New Roman"/>
          <w:b/>
        </w:rPr>
        <w:tab/>
      </w:r>
      <w:r w:rsidRPr="00062651">
        <w:rPr>
          <w:rFonts w:ascii="Times New Roman" w:hAnsi="Times New Roman"/>
          <w:b/>
        </w:rPr>
        <w:tab/>
      </w:r>
      <w:r w:rsidRPr="00062651">
        <w:rPr>
          <w:rFonts w:ascii="Times New Roman" w:hAnsi="Times New Roman"/>
          <w:b/>
        </w:rPr>
        <w:tab/>
      </w:r>
      <w:r w:rsidRPr="00062651">
        <w:rPr>
          <w:rFonts w:ascii="Times New Roman" w:hAnsi="Times New Roman"/>
          <w:b/>
        </w:rPr>
        <w:tab/>
      </w:r>
      <w:r w:rsidR="007E3117" w:rsidRPr="00062651">
        <w:rPr>
          <w:rFonts w:ascii="Times New Roman" w:hAnsi="Times New Roman"/>
          <w:b/>
        </w:rPr>
        <w:t>    </w:t>
      </w:r>
      <w:r w:rsidRPr="00062651">
        <w:rPr>
          <w:rFonts w:ascii="Times New Roman" w:hAnsi="Times New Roman"/>
          <w:b/>
        </w:rPr>
        <w:t>   </w:t>
      </w:r>
      <w:r w:rsidR="00D954BD" w:rsidRPr="00062651">
        <w:rPr>
          <w:rFonts w:ascii="Times New Roman" w:hAnsi="Times New Roman"/>
          <w:b/>
        </w:rPr>
        <w:t xml:space="preserve"> </w:t>
      </w:r>
      <w:r w:rsidR="005F0BD0" w:rsidRPr="00062651">
        <w:rPr>
          <w:rFonts w:ascii="Times New Roman" w:hAnsi="Times New Roman"/>
          <w:b/>
        </w:rPr>
        <w:t>50</w:t>
      </w:r>
      <w:r w:rsidR="00386A2C" w:rsidRPr="00062651">
        <w:rPr>
          <w:rFonts w:ascii="Times New Roman" w:hAnsi="Times New Roman"/>
          <w:b/>
        </w:rPr>
        <w:t> </w:t>
      </w:r>
      <w:r w:rsidR="007E3117" w:rsidRPr="00062651">
        <w:rPr>
          <w:rFonts w:ascii="Times New Roman" w:hAnsi="Times New Roman"/>
          <w:b/>
        </w:rPr>
        <w:t>180</w:t>
      </w:r>
      <w:r w:rsidR="00386A2C" w:rsidRPr="00062651">
        <w:rPr>
          <w:rFonts w:ascii="Times New Roman" w:hAnsi="Times New Roman"/>
          <w:b/>
        </w:rPr>
        <w:t> </w:t>
      </w:r>
      <w:r w:rsidRPr="00062651">
        <w:rPr>
          <w:rFonts w:ascii="Times New Roman" w:hAnsi="Times New Roman"/>
          <w:b/>
        </w:rPr>
        <w:t>000</w:t>
      </w:r>
      <w:r w:rsidR="00386A2C" w:rsidRPr="00062651">
        <w:rPr>
          <w:rFonts w:ascii="Times New Roman" w:hAnsi="Times New Roman"/>
          <w:b/>
        </w:rPr>
        <w:t> </w:t>
      </w:r>
      <w:r w:rsidR="003F230C" w:rsidRPr="00062651">
        <w:rPr>
          <w:rFonts w:ascii="Times New Roman" w:hAnsi="Times New Roman"/>
          <w:b/>
        </w:rPr>
        <w:t>Kč</w:t>
      </w:r>
    </w:p>
    <w:p w14:paraId="5134786B" w14:textId="77777777" w:rsidR="003F230C" w:rsidRPr="00062651" w:rsidRDefault="003F230C" w:rsidP="00CD40A6">
      <w:pPr>
        <w:spacing w:before="120" w:line="240" w:lineRule="auto"/>
        <w:rPr>
          <w:rFonts w:ascii="Times New Roman" w:hAnsi="Times New Roman"/>
        </w:rPr>
      </w:pPr>
      <w:r w:rsidRPr="00062651">
        <w:rPr>
          <w:rFonts w:ascii="Times New Roman" w:hAnsi="Times New Roman"/>
        </w:rPr>
        <w:t>V tomto programu jsou vedeny 3 podprogramy, týkající se nového programového období 2014 – 2020.</w:t>
      </w:r>
    </w:p>
    <w:p w14:paraId="5134786C" w14:textId="77777777" w:rsidR="003F230C" w:rsidRPr="00062651" w:rsidRDefault="007E43A0" w:rsidP="000E5EF2">
      <w:pPr>
        <w:spacing w:before="120" w:line="240" w:lineRule="auto"/>
        <w:rPr>
          <w:rFonts w:ascii="Times New Roman" w:hAnsi="Times New Roman"/>
        </w:rPr>
      </w:pPr>
      <w:r w:rsidRPr="00062651">
        <w:rPr>
          <w:rFonts w:ascii="Times New Roman" w:hAnsi="Times New Roman"/>
        </w:rPr>
        <w:t>Pro M</w:t>
      </w:r>
      <w:r w:rsidR="00062651">
        <w:rPr>
          <w:rFonts w:ascii="Times New Roman" w:hAnsi="Times New Roman"/>
        </w:rPr>
        <w:t xml:space="preserve">inisterstva kultury a jeho </w:t>
      </w:r>
      <w:r w:rsidR="000B2BD3" w:rsidRPr="00062651">
        <w:rPr>
          <w:rFonts w:ascii="Times New Roman" w:hAnsi="Times New Roman"/>
        </w:rPr>
        <w:t xml:space="preserve">příspěvkové organizace </w:t>
      </w:r>
      <w:r w:rsidRPr="00062651">
        <w:rPr>
          <w:rFonts w:ascii="Times New Roman" w:hAnsi="Times New Roman"/>
        </w:rPr>
        <w:t>je uvažováno v programovém období 2014</w:t>
      </w:r>
      <w:r w:rsidR="00062651">
        <w:rPr>
          <w:rFonts w:ascii="Times New Roman" w:hAnsi="Times New Roman"/>
        </w:rPr>
        <w:t> </w:t>
      </w:r>
      <w:r w:rsidRPr="00062651">
        <w:rPr>
          <w:rFonts w:ascii="Times New Roman" w:hAnsi="Times New Roman"/>
        </w:rPr>
        <w:t>– 2020 s čerpáním finančních prostředků z Integrovaného regionálního operačního programu (IROP)</w:t>
      </w:r>
      <w:r w:rsidR="00A7613C" w:rsidRPr="00062651">
        <w:rPr>
          <w:rFonts w:ascii="Times New Roman" w:hAnsi="Times New Roman"/>
        </w:rPr>
        <w:t xml:space="preserve"> – prioritní osa – prioritní osa, specifický cíl </w:t>
      </w:r>
      <w:r w:rsidRPr="00062651">
        <w:rPr>
          <w:rFonts w:ascii="Times New Roman" w:hAnsi="Times New Roman"/>
        </w:rPr>
        <w:t>3.1 Zefektivnění prezentace, posílení ochrany a rozvoje kulturního dědictví a specifick</w:t>
      </w:r>
      <w:r w:rsidR="00A7613C" w:rsidRPr="00062651">
        <w:rPr>
          <w:rFonts w:ascii="Times New Roman" w:hAnsi="Times New Roman"/>
        </w:rPr>
        <w:t>ý</w:t>
      </w:r>
      <w:r w:rsidRPr="00062651">
        <w:rPr>
          <w:rFonts w:ascii="Times New Roman" w:hAnsi="Times New Roman"/>
        </w:rPr>
        <w:t xml:space="preserve"> cíl 3.2 Zvyšování efektivity a</w:t>
      </w:r>
      <w:r w:rsidR="00062651">
        <w:rPr>
          <w:rFonts w:ascii="Times New Roman" w:hAnsi="Times New Roman"/>
        </w:rPr>
        <w:t> </w:t>
      </w:r>
      <w:r w:rsidRPr="00062651">
        <w:rPr>
          <w:rFonts w:ascii="Times New Roman" w:hAnsi="Times New Roman"/>
        </w:rPr>
        <w:t xml:space="preserve">transparentnosti veřejné správy prostřednictvím rozvoje využití a kvality systémů </w:t>
      </w:r>
      <w:r w:rsidR="007F3247" w:rsidRPr="00062651">
        <w:rPr>
          <w:rFonts w:ascii="Times New Roman" w:hAnsi="Times New Roman"/>
        </w:rPr>
        <w:t>informačních a komunikačních technologií</w:t>
      </w:r>
      <w:r w:rsidRPr="00062651">
        <w:rPr>
          <w:rFonts w:ascii="Times New Roman" w:hAnsi="Times New Roman"/>
        </w:rPr>
        <w:t xml:space="preserve"> a dále z Operačního programu zaměstnanost – prioritní osa 4 Efektivní veřejná správa</w:t>
      </w:r>
      <w:r w:rsidR="00A7613C" w:rsidRPr="00062651">
        <w:rPr>
          <w:rFonts w:ascii="Times New Roman" w:hAnsi="Times New Roman"/>
        </w:rPr>
        <w:t>, specifický cíl 4.1.1 Optimalizovat procesy a postupy ve veřejné správě zejména prostřednictvím posílení strategického řízení organizací, zvýšení kvality jejich fungování a snížení administrativní zátěže a specifický cíl 4.1.2 Profesionalizovat veřejnou správu zejména prostřednictvím zvyšování znalostí a</w:t>
      </w:r>
      <w:r w:rsidR="00062651">
        <w:rPr>
          <w:rFonts w:ascii="Times New Roman" w:hAnsi="Times New Roman"/>
        </w:rPr>
        <w:t> </w:t>
      </w:r>
      <w:r w:rsidR="00A7613C" w:rsidRPr="00062651">
        <w:rPr>
          <w:rFonts w:ascii="Times New Roman" w:hAnsi="Times New Roman"/>
        </w:rPr>
        <w:t>dovedností jejích pracovníků, rozvoje politik a strategií v oblasti, lidských zdrojů a</w:t>
      </w:r>
      <w:r w:rsidR="00062651">
        <w:rPr>
          <w:rFonts w:ascii="Times New Roman" w:hAnsi="Times New Roman"/>
        </w:rPr>
        <w:t> </w:t>
      </w:r>
      <w:r w:rsidR="00A7613C" w:rsidRPr="00062651">
        <w:rPr>
          <w:rFonts w:ascii="Times New Roman" w:hAnsi="Times New Roman"/>
        </w:rPr>
        <w:t>implementace služebního zákona.</w:t>
      </w:r>
      <w:r w:rsidR="00C274AB" w:rsidRPr="00062651">
        <w:rPr>
          <w:rFonts w:ascii="Times New Roman" w:hAnsi="Times New Roman"/>
        </w:rPr>
        <w:t xml:space="preserve"> </w:t>
      </w:r>
      <w:r w:rsidR="00062651">
        <w:rPr>
          <w:rFonts w:ascii="Times New Roman" w:hAnsi="Times New Roman"/>
        </w:rPr>
        <w:t>P</w:t>
      </w:r>
      <w:r w:rsidRPr="00062651">
        <w:rPr>
          <w:rFonts w:ascii="Times New Roman" w:hAnsi="Times New Roman"/>
        </w:rPr>
        <w:t>ropočt</w:t>
      </w:r>
      <w:r w:rsidR="00062651">
        <w:rPr>
          <w:rFonts w:ascii="Times New Roman" w:hAnsi="Times New Roman"/>
        </w:rPr>
        <w:t>y</w:t>
      </w:r>
      <w:r w:rsidRPr="00062651">
        <w:rPr>
          <w:rFonts w:ascii="Times New Roman" w:hAnsi="Times New Roman"/>
        </w:rPr>
        <w:t xml:space="preserve"> vycház</w:t>
      </w:r>
      <w:r w:rsidR="00062651">
        <w:rPr>
          <w:rFonts w:ascii="Times New Roman" w:hAnsi="Times New Roman"/>
        </w:rPr>
        <w:t xml:space="preserve">í </w:t>
      </w:r>
      <w:r w:rsidRPr="00062651">
        <w:rPr>
          <w:rFonts w:ascii="Times New Roman" w:hAnsi="Times New Roman"/>
        </w:rPr>
        <w:t>z podkladů: Mír</w:t>
      </w:r>
      <w:r w:rsidR="00E543DC" w:rsidRPr="00062651">
        <w:rPr>
          <w:rFonts w:ascii="Times New Roman" w:hAnsi="Times New Roman"/>
        </w:rPr>
        <w:t>a</w:t>
      </w:r>
      <w:r w:rsidRPr="00062651">
        <w:rPr>
          <w:rFonts w:ascii="Times New Roman" w:hAnsi="Times New Roman"/>
        </w:rPr>
        <w:t xml:space="preserve"> spolufinancování jednotlivých </w:t>
      </w:r>
      <w:r w:rsidR="00062651">
        <w:rPr>
          <w:rFonts w:ascii="Times New Roman" w:hAnsi="Times New Roman"/>
        </w:rPr>
        <w:t xml:space="preserve">specifických cílů </w:t>
      </w:r>
      <w:r w:rsidRPr="00062651">
        <w:rPr>
          <w:rFonts w:ascii="Times New Roman" w:hAnsi="Times New Roman"/>
        </w:rPr>
        <w:t xml:space="preserve">IROP a </w:t>
      </w:r>
      <w:r w:rsidR="00062651">
        <w:rPr>
          <w:rFonts w:ascii="Times New Roman" w:hAnsi="Times New Roman"/>
        </w:rPr>
        <w:t xml:space="preserve">Operačních programu zaměstnanost </w:t>
      </w:r>
      <w:r w:rsidRPr="00062651">
        <w:rPr>
          <w:rFonts w:ascii="Times New Roman" w:hAnsi="Times New Roman"/>
        </w:rPr>
        <w:t xml:space="preserve">pro </w:t>
      </w:r>
      <w:r w:rsidR="007F3247" w:rsidRPr="00062651">
        <w:rPr>
          <w:rFonts w:ascii="Times New Roman" w:hAnsi="Times New Roman"/>
        </w:rPr>
        <w:t>organizační složky státu</w:t>
      </w:r>
      <w:r w:rsidRPr="00062651">
        <w:rPr>
          <w:rFonts w:ascii="Times New Roman" w:hAnsi="Times New Roman"/>
        </w:rPr>
        <w:t xml:space="preserve"> a</w:t>
      </w:r>
      <w:r w:rsidR="00062651">
        <w:rPr>
          <w:rFonts w:ascii="Times New Roman" w:hAnsi="Times New Roman"/>
        </w:rPr>
        <w:t> </w:t>
      </w:r>
      <w:r w:rsidRPr="00062651">
        <w:rPr>
          <w:rFonts w:ascii="Times New Roman" w:hAnsi="Times New Roman"/>
        </w:rPr>
        <w:t>předložených projektových záměrů s předpokladem úspěšnosti.</w:t>
      </w:r>
      <w:r w:rsidR="000E076D" w:rsidRPr="00062651">
        <w:rPr>
          <w:rFonts w:ascii="Times New Roman" w:hAnsi="Times New Roman"/>
        </w:rPr>
        <w:t xml:space="preserve"> Podíl rozpočtu Evropské unie bude předmětem souvztažného navýšení příjmů a výdajů v průběhu roku 2016.</w:t>
      </w:r>
    </w:p>
    <w:p w14:paraId="5134786D" w14:textId="77777777" w:rsidR="003E4200" w:rsidRPr="00062651" w:rsidRDefault="003E4200" w:rsidP="000E5EF2">
      <w:pPr>
        <w:spacing w:before="120" w:line="240" w:lineRule="auto"/>
        <w:rPr>
          <w:rFonts w:ascii="Times New Roman" w:hAnsi="Times New Roman"/>
          <w:u w:val="single"/>
        </w:rPr>
      </w:pPr>
      <w:r w:rsidRPr="00062651">
        <w:rPr>
          <w:rFonts w:ascii="Times New Roman" w:hAnsi="Times New Roman"/>
          <w:u w:val="single"/>
        </w:rPr>
        <w:t xml:space="preserve">Zefektivnění prezentace, posílení ochrany a rozvoje </w:t>
      </w:r>
    </w:p>
    <w:p w14:paraId="5134786E" w14:textId="77777777" w:rsidR="003E4200" w:rsidRPr="00062651" w:rsidRDefault="003E4200" w:rsidP="00CD40A6">
      <w:pPr>
        <w:spacing w:line="240" w:lineRule="auto"/>
        <w:rPr>
          <w:rFonts w:ascii="Times New Roman" w:hAnsi="Times New Roman"/>
        </w:rPr>
      </w:pPr>
      <w:r w:rsidRPr="00062651">
        <w:rPr>
          <w:rFonts w:ascii="Times New Roman" w:hAnsi="Times New Roman"/>
          <w:u w:val="single"/>
        </w:rPr>
        <w:t>kulturního dědictví – IROP SC 3.1</w:t>
      </w:r>
      <w:r w:rsidRPr="00062651">
        <w:rPr>
          <w:rFonts w:ascii="Times New Roman" w:hAnsi="Times New Roman"/>
          <w:u w:val="single"/>
        </w:rPr>
        <w:tab/>
      </w:r>
      <w:r w:rsidRPr="00062651">
        <w:rPr>
          <w:rFonts w:ascii="Times New Roman" w:hAnsi="Times New Roman"/>
          <w:u w:val="single"/>
        </w:rPr>
        <w:tab/>
      </w:r>
      <w:r w:rsidRPr="00062651">
        <w:rPr>
          <w:rFonts w:ascii="Times New Roman" w:hAnsi="Times New Roman"/>
          <w:u w:val="single"/>
        </w:rPr>
        <w:tab/>
      </w:r>
      <w:r w:rsidRPr="00062651">
        <w:rPr>
          <w:rFonts w:ascii="Times New Roman" w:hAnsi="Times New Roman"/>
          <w:u w:val="single"/>
        </w:rPr>
        <w:tab/>
      </w:r>
      <w:r w:rsidRPr="00062651">
        <w:rPr>
          <w:rFonts w:ascii="Times New Roman" w:hAnsi="Times New Roman"/>
          <w:u w:val="single"/>
        </w:rPr>
        <w:tab/>
      </w:r>
      <w:r w:rsidR="00704770" w:rsidRPr="00062651">
        <w:rPr>
          <w:rFonts w:ascii="Times New Roman" w:hAnsi="Times New Roman"/>
          <w:u w:val="single"/>
        </w:rPr>
        <w:tab/>
      </w:r>
      <w:r w:rsidR="00386A2C" w:rsidRPr="00062651">
        <w:rPr>
          <w:rFonts w:ascii="Times New Roman" w:hAnsi="Times New Roman"/>
          <w:u w:val="single"/>
        </w:rPr>
        <w:t>     </w:t>
      </w:r>
      <w:r w:rsidR="00704770" w:rsidRPr="00062651">
        <w:rPr>
          <w:rFonts w:ascii="Times New Roman" w:hAnsi="Times New Roman"/>
          <w:u w:val="single"/>
        </w:rPr>
        <w:t> </w:t>
      </w:r>
      <w:r w:rsidR="00A7613C" w:rsidRPr="00062651">
        <w:rPr>
          <w:rFonts w:ascii="Times New Roman" w:hAnsi="Times New Roman"/>
          <w:u w:val="single"/>
        </w:rPr>
        <w:t>   </w:t>
      </w:r>
      <w:r w:rsidR="005F0BD0" w:rsidRPr="00062651">
        <w:rPr>
          <w:rFonts w:ascii="Times New Roman" w:hAnsi="Times New Roman"/>
          <w:u w:val="single"/>
        </w:rPr>
        <w:t>36</w:t>
      </w:r>
      <w:r w:rsidR="00386A2C" w:rsidRPr="00062651">
        <w:rPr>
          <w:rFonts w:ascii="Times New Roman" w:hAnsi="Times New Roman"/>
          <w:u w:val="single"/>
        </w:rPr>
        <w:t> </w:t>
      </w:r>
      <w:r w:rsidR="00A7613C" w:rsidRPr="00062651">
        <w:rPr>
          <w:rFonts w:ascii="Times New Roman" w:hAnsi="Times New Roman"/>
          <w:u w:val="single"/>
        </w:rPr>
        <w:t>000</w:t>
      </w:r>
      <w:r w:rsidR="00386A2C" w:rsidRPr="00062651">
        <w:rPr>
          <w:rFonts w:ascii="Times New Roman" w:hAnsi="Times New Roman"/>
          <w:u w:val="single"/>
        </w:rPr>
        <w:t> </w:t>
      </w:r>
      <w:r w:rsidR="00A7613C" w:rsidRPr="00062651">
        <w:rPr>
          <w:rFonts w:ascii="Times New Roman" w:hAnsi="Times New Roman"/>
          <w:u w:val="single"/>
        </w:rPr>
        <w:t>000</w:t>
      </w:r>
      <w:r w:rsidR="00704770" w:rsidRPr="00062651">
        <w:rPr>
          <w:rFonts w:ascii="Times New Roman" w:hAnsi="Times New Roman"/>
          <w:u w:val="single"/>
        </w:rPr>
        <w:t> </w:t>
      </w:r>
      <w:r w:rsidRPr="00062651">
        <w:rPr>
          <w:rFonts w:ascii="Times New Roman" w:hAnsi="Times New Roman"/>
          <w:u w:val="single"/>
        </w:rPr>
        <w:t>Kč</w:t>
      </w:r>
    </w:p>
    <w:p w14:paraId="5134786F" w14:textId="77777777" w:rsidR="00A7613C" w:rsidRPr="00062651" w:rsidRDefault="00A7613C" w:rsidP="00CD40A6">
      <w:pPr>
        <w:spacing w:before="120" w:line="240" w:lineRule="auto"/>
        <w:rPr>
          <w:rFonts w:ascii="Times New Roman" w:hAnsi="Times New Roman"/>
          <w:szCs w:val="24"/>
        </w:rPr>
      </w:pPr>
      <w:r w:rsidRPr="00062651">
        <w:rPr>
          <w:rFonts w:ascii="Times New Roman" w:hAnsi="Times New Roman"/>
        </w:rPr>
        <w:t xml:space="preserve">V rámci IROP bude možné v programovém období 2014 – 2020 čerpat finanční prostředky </w:t>
      </w:r>
      <w:r w:rsidRPr="00062651">
        <w:rPr>
          <w:rFonts w:ascii="Times New Roman" w:hAnsi="Times New Roman"/>
        </w:rPr>
        <w:br/>
        <w:t>z</w:t>
      </w:r>
      <w:r w:rsidR="00090A1D" w:rsidRPr="00062651">
        <w:rPr>
          <w:rFonts w:ascii="Times New Roman" w:hAnsi="Times New Roman"/>
        </w:rPr>
        <w:t>e</w:t>
      </w:r>
      <w:r w:rsidRPr="00062651">
        <w:rPr>
          <w:rFonts w:ascii="Times New Roman" w:hAnsi="Times New Roman"/>
        </w:rPr>
        <w:t xml:space="preserve"> </w:t>
      </w:r>
      <w:r w:rsidR="00090A1D" w:rsidRPr="00062651">
        <w:rPr>
          <w:rFonts w:ascii="Times New Roman" w:hAnsi="Times New Roman"/>
        </w:rPr>
        <w:t>specifického cíle</w:t>
      </w:r>
      <w:r w:rsidRPr="00062651">
        <w:rPr>
          <w:rFonts w:ascii="Times New Roman" w:hAnsi="Times New Roman"/>
        </w:rPr>
        <w:t xml:space="preserve"> 3.1 Zefektivnění prezentace, posílení ochrany a rozvoje kulturního dědictví – podprogram 134V711 (dále jen „SC 3.1“). Pro SC 3.1 je v aktuální podobě programového dokumentu IROP alokováno celkem 9 % finančních prostředků z ERDF </w:t>
      </w:r>
      <w:r w:rsidR="000E07DA" w:rsidRPr="00062651">
        <w:rPr>
          <w:rFonts w:ascii="Times New Roman" w:hAnsi="Times New Roman"/>
        </w:rPr>
        <w:br/>
      </w:r>
      <w:r w:rsidRPr="00062651">
        <w:rPr>
          <w:rFonts w:ascii="Times New Roman" w:hAnsi="Times New Roman"/>
        </w:rPr>
        <w:t>ve výši</w:t>
      </w:r>
      <w:r w:rsidR="00090A1D" w:rsidRPr="00062651">
        <w:rPr>
          <w:rFonts w:ascii="Times New Roman" w:hAnsi="Times New Roman"/>
        </w:rPr>
        <w:t xml:space="preserve"> </w:t>
      </w:r>
      <w:r w:rsidRPr="00062651">
        <w:rPr>
          <w:rFonts w:ascii="Times New Roman" w:hAnsi="Times New Roman"/>
        </w:rPr>
        <w:t xml:space="preserve">425 278 328 EUR (tj. při kurzu 27,50 CZK/EUR </w:t>
      </w:r>
      <w:r w:rsidRPr="007762FC">
        <w:rPr>
          <w:rFonts w:ascii="Times New Roman" w:hAnsi="Times New Roman"/>
        </w:rPr>
        <w:t xml:space="preserve">cca 11,7 mld. Kč). </w:t>
      </w:r>
      <w:r w:rsidRPr="007762FC">
        <w:rPr>
          <w:rFonts w:ascii="Times New Roman" w:hAnsi="Times New Roman"/>
          <w:szCs w:val="24"/>
        </w:rPr>
        <w:t>Z SC 3.1 bude možné čerpat finanční prostředky na kulturní památky, muzea a knihovny na tyto typy intervencí:</w:t>
      </w:r>
      <w:r w:rsidR="00A52EE8" w:rsidRPr="007762FC">
        <w:rPr>
          <w:rFonts w:ascii="Times New Roman" w:hAnsi="Times New Roman"/>
          <w:szCs w:val="24"/>
        </w:rPr>
        <w:t xml:space="preserve"> </w:t>
      </w:r>
      <w:r w:rsidRPr="00062651">
        <w:rPr>
          <w:rFonts w:ascii="Times New Roman" w:hAnsi="Times New Roman"/>
          <w:szCs w:val="24"/>
        </w:rPr>
        <w:t>obnova památek, zajištění vyšší bezpečnosti návštěvníků, odstraňování přístupových bariér, zvýšení ochrany památek a jejich zabezpečení, rekonstrukce stávajících expozic a depozitářů a</w:t>
      </w:r>
      <w:r w:rsidRPr="00062651">
        <w:t xml:space="preserve"> </w:t>
      </w:r>
      <w:r w:rsidRPr="00062651">
        <w:rPr>
          <w:rFonts w:ascii="Times New Roman" w:hAnsi="Times New Roman"/>
          <w:szCs w:val="24"/>
        </w:rPr>
        <w:t xml:space="preserve">budování nových expozic a depozitářů, digitalizace památek </w:t>
      </w:r>
      <w:r w:rsidR="001F701E" w:rsidRPr="00062651">
        <w:rPr>
          <w:rFonts w:ascii="Times New Roman" w:hAnsi="Times New Roman"/>
        </w:rPr>
        <w:br/>
      </w:r>
      <w:r w:rsidRPr="00062651">
        <w:rPr>
          <w:rFonts w:ascii="Times New Roman" w:hAnsi="Times New Roman"/>
          <w:szCs w:val="24"/>
        </w:rPr>
        <w:t>a mobiliářů, zvýšení ochrany sbírkových a knihovních fondů, rekonstrukce stávajících expozic a depozitářů, budování nových expozic a depozitářů, modernizace stávajících expozic a depozitářů, digitalizace muzejních sbírek a knihovních fondů, zabezpečení a osvětlení objektů, modernizace, popř. výstavba nezbytných objektů sociálního, technického a</w:t>
      </w:r>
      <w:r w:rsidR="007762FC">
        <w:rPr>
          <w:rFonts w:ascii="Times New Roman" w:hAnsi="Times New Roman"/>
          <w:szCs w:val="24"/>
        </w:rPr>
        <w:t> </w:t>
      </w:r>
      <w:r w:rsidRPr="00062651">
        <w:rPr>
          <w:rFonts w:ascii="Times New Roman" w:hAnsi="Times New Roman"/>
          <w:szCs w:val="24"/>
        </w:rPr>
        <w:t xml:space="preserve">technologického zázemí, revitalizace parků a zahrad u vybraných souborů památek apod. </w:t>
      </w:r>
    </w:p>
    <w:p w14:paraId="51347870" w14:textId="77777777" w:rsidR="00A7613C" w:rsidRPr="00062651" w:rsidRDefault="00A7613C" w:rsidP="000E076D">
      <w:pPr>
        <w:spacing w:before="120" w:line="240" w:lineRule="auto"/>
      </w:pPr>
      <w:r w:rsidRPr="00062651">
        <w:rPr>
          <w:rFonts w:ascii="Times New Roman" w:hAnsi="Times New Roman"/>
        </w:rPr>
        <w:t xml:space="preserve">Cílem SC 3.1 je zachovat, ochránit a rozvíjet potenciál kulturního dědictví a využít ho k vyváženému rozvoji území s pozitivními dopady na regionální a místní zaměstnanost. Ministerstvo kultury se nachází před jedinečnou možností využít finančních prostředků </w:t>
      </w:r>
      <w:r w:rsidRPr="00062651">
        <w:rPr>
          <w:rFonts w:ascii="Times New Roman" w:hAnsi="Times New Roman"/>
        </w:rPr>
        <w:lastRenderedPageBreak/>
        <w:t>pro</w:t>
      </w:r>
      <w:r w:rsidR="00412836" w:rsidRPr="00062651">
        <w:rPr>
          <w:rFonts w:ascii="Times New Roman" w:hAnsi="Times New Roman"/>
        </w:rPr>
        <w:t> </w:t>
      </w:r>
      <w:r w:rsidRPr="00062651">
        <w:rPr>
          <w:rFonts w:ascii="Times New Roman" w:hAnsi="Times New Roman"/>
        </w:rPr>
        <w:t xml:space="preserve">kulturní památky a paměťové instituce ve vlastnictví státu z Evropských strukturálních a investičních fondů (konkrétně z ERDF). V tomto novém programovém období bude </w:t>
      </w:r>
      <w:r w:rsidR="00090A1D" w:rsidRPr="00062651">
        <w:rPr>
          <w:rFonts w:ascii="Times New Roman" w:hAnsi="Times New Roman"/>
        </w:rPr>
        <w:t>z ERDF poskytováno na projekty 85 %</w:t>
      </w:r>
      <w:r w:rsidRPr="00062651">
        <w:rPr>
          <w:rFonts w:ascii="Times New Roman" w:hAnsi="Times New Roman"/>
        </w:rPr>
        <w:t xml:space="preserve"> finančních prostředků</w:t>
      </w:r>
      <w:r w:rsidR="00090A1D" w:rsidRPr="00062651">
        <w:rPr>
          <w:rFonts w:ascii="Times New Roman" w:hAnsi="Times New Roman"/>
        </w:rPr>
        <w:t>.</w:t>
      </w:r>
      <w:r w:rsidRPr="00062651">
        <w:rPr>
          <w:rFonts w:ascii="Times New Roman" w:hAnsi="Times New Roman"/>
        </w:rPr>
        <w:t xml:space="preserve"> Z tohoto důvodu by mělo Ministerstvo kultury zajistit na spolufinancování projektů pro projektové žádosti Ministerstva kultury a svých příspěvkových organizací </w:t>
      </w:r>
      <w:r w:rsidR="00090A1D" w:rsidRPr="00062651">
        <w:rPr>
          <w:rFonts w:ascii="Times New Roman" w:hAnsi="Times New Roman"/>
        </w:rPr>
        <w:t>zbývajících 15 % výše projektů (částka 15 % představuje povinné národní kofinancování).</w:t>
      </w:r>
      <w:r w:rsidRPr="00062651">
        <w:rPr>
          <w:rFonts w:ascii="Times New Roman" w:hAnsi="Times New Roman"/>
        </w:rPr>
        <w:t xml:space="preserve"> Z tohoto SC budou v rámci podprogramu 134V711 financovány projekty za muzea, knihovny a kulturní památky s cílem zachovat, ochránit a rozvíjet potenciál kulturního dědictví ČR ve vlastnictví státu – pro rok 2016 je z dosud získaných podkladů nutno uvažovat s předpokládanou úspěšností 8 projektů příspěvkových organizací M</w:t>
      </w:r>
      <w:r w:rsidR="007762FC">
        <w:rPr>
          <w:rFonts w:ascii="Times New Roman" w:hAnsi="Times New Roman"/>
        </w:rPr>
        <w:t>inisterstva kultury.</w:t>
      </w:r>
      <w:r w:rsidRPr="00062651">
        <w:rPr>
          <w:rFonts w:ascii="Times New Roman" w:hAnsi="Times New Roman"/>
        </w:rPr>
        <w:t xml:space="preserve"> </w:t>
      </w:r>
    </w:p>
    <w:p w14:paraId="51347871" w14:textId="77777777" w:rsidR="00A52EE8" w:rsidRPr="000E5EF2" w:rsidRDefault="00A52EE8" w:rsidP="000E5EF2">
      <w:pPr>
        <w:pStyle w:val="Zhlav"/>
        <w:spacing w:before="120"/>
        <w:rPr>
          <w:rFonts w:ascii="Times New Roman" w:hAnsi="Times New Roman"/>
        </w:rPr>
      </w:pPr>
      <w:r w:rsidRPr="00062651">
        <w:rPr>
          <w:rFonts w:ascii="Times New Roman" w:hAnsi="Times New Roman"/>
        </w:rPr>
        <w:t>Údaje za podprogram jsou uvedeny ve Formuláři č. 9/1</w:t>
      </w:r>
      <w:r w:rsidRPr="00062651">
        <w:rPr>
          <w:rFonts w:ascii="Times New Roman" w:hAnsi="Times New Roman"/>
          <w:i/>
        </w:rPr>
        <w:t>.</w:t>
      </w:r>
    </w:p>
    <w:p w14:paraId="51347872" w14:textId="77777777" w:rsidR="003E4200" w:rsidRPr="007762FC" w:rsidRDefault="003E4200" w:rsidP="00CD40A6">
      <w:pPr>
        <w:spacing w:before="120" w:line="240" w:lineRule="auto"/>
        <w:rPr>
          <w:rFonts w:ascii="Times New Roman" w:hAnsi="Times New Roman"/>
          <w:u w:val="single"/>
        </w:rPr>
      </w:pPr>
      <w:r w:rsidRPr="007762FC">
        <w:rPr>
          <w:rFonts w:ascii="Times New Roman" w:hAnsi="Times New Roman"/>
          <w:u w:val="single"/>
        </w:rPr>
        <w:t>eCulture -</w:t>
      </w:r>
      <w:r w:rsidR="00B81A8D" w:rsidRPr="007762FC">
        <w:rPr>
          <w:rFonts w:ascii="Times New Roman" w:hAnsi="Times New Roman"/>
          <w:u w:val="single"/>
        </w:rPr>
        <w:t>IROP SC 3.2</w:t>
      </w:r>
      <w:r w:rsidRPr="007762FC">
        <w:rPr>
          <w:rFonts w:ascii="Times New Roman" w:hAnsi="Times New Roman"/>
          <w:u w:val="single"/>
        </w:rPr>
        <w:tab/>
      </w:r>
      <w:r w:rsidRPr="007762FC">
        <w:rPr>
          <w:rFonts w:ascii="Times New Roman" w:hAnsi="Times New Roman"/>
          <w:u w:val="single"/>
        </w:rPr>
        <w:tab/>
      </w:r>
      <w:r w:rsidRPr="007762FC">
        <w:rPr>
          <w:rFonts w:ascii="Times New Roman" w:hAnsi="Times New Roman"/>
          <w:u w:val="single"/>
        </w:rPr>
        <w:tab/>
      </w:r>
      <w:r w:rsidRPr="007762FC">
        <w:rPr>
          <w:rFonts w:ascii="Times New Roman" w:hAnsi="Times New Roman"/>
          <w:u w:val="single"/>
        </w:rPr>
        <w:tab/>
      </w:r>
      <w:r w:rsidRPr="007762FC">
        <w:rPr>
          <w:rFonts w:ascii="Times New Roman" w:hAnsi="Times New Roman"/>
          <w:u w:val="single"/>
        </w:rPr>
        <w:tab/>
      </w:r>
      <w:r w:rsidRPr="007762FC">
        <w:rPr>
          <w:rFonts w:ascii="Times New Roman" w:hAnsi="Times New Roman"/>
          <w:u w:val="single"/>
        </w:rPr>
        <w:tab/>
      </w:r>
      <w:r w:rsidRPr="007762FC">
        <w:rPr>
          <w:rFonts w:ascii="Times New Roman" w:hAnsi="Times New Roman"/>
          <w:u w:val="single"/>
        </w:rPr>
        <w:tab/>
      </w:r>
      <w:r w:rsidR="00386A2C" w:rsidRPr="007762FC">
        <w:rPr>
          <w:rFonts w:ascii="Times New Roman" w:hAnsi="Times New Roman"/>
          <w:u w:val="single"/>
        </w:rPr>
        <w:t>     </w:t>
      </w:r>
      <w:r w:rsidR="007F3247" w:rsidRPr="007762FC">
        <w:rPr>
          <w:rFonts w:ascii="Times New Roman" w:hAnsi="Times New Roman"/>
          <w:u w:val="single"/>
        </w:rPr>
        <w:t>     </w:t>
      </w:r>
      <w:r w:rsidR="00704770" w:rsidRPr="007762FC">
        <w:rPr>
          <w:rFonts w:ascii="Times New Roman" w:hAnsi="Times New Roman"/>
          <w:u w:val="single"/>
        </w:rPr>
        <w:t> </w:t>
      </w:r>
      <w:r w:rsidR="005F0BD0" w:rsidRPr="007762FC">
        <w:rPr>
          <w:rFonts w:ascii="Times New Roman" w:hAnsi="Times New Roman"/>
          <w:u w:val="single"/>
        </w:rPr>
        <w:t>8</w:t>
      </w:r>
      <w:r w:rsidR="00386A2C" w:rsidRPr="007762FC">
        <w:rPr>
          <w:rFonts w:ascii="Times New Roman" w:hAnsi="Times New Roman"/>
          <w:u w:val="single"/>
        </w:rPr>
        <w:t> </w:t>
      </w:r>
      <w:r w:rsidR="007F3247" w:rsidRPr="007762FC">
        <w:rPr>
          <w:rFonts w:ascii="Times New Roman" w:hAnsi="Times New Roman"/>
          <w:u w:val="single"/>
        </w:rPr>
        <w:t>000</w:t>
      </w:r>
      <w:r w:rsidR="00386A2C" w:rsidRPr="007762FC">
        <w:rPr>
          <w:rFonts w:ascii="Times New Roman" w:hAnsi="Times New Roman"/>
          <w:u w:val="single"/>
        </w:rPr>
        <w:t> </w:t>
      </w:r>
      <w:r w:rsidR="007F3247" w:rsidRPr="007762FC">
        <w:rPr>
          <w:rFonts w:ascii="Times New Roman" w:hAnsi="Times New Roman"/>
          <w:u w:val="single"/>
        </w:rPr>
        <w:t>000</w:t>
      </w:r>
      <w:r w:rsidR="00704770" w:rsidRPr="007762FC">
        <w:rPr>
          <w:rFonts w:ascii="Times New Roman" w:hAnsi="Times New Roman"/>
          <w:u w:val="single"/>
        </w:rPr>
        <w:t> </w:t>
      </w:r>
      <w:r w:rsidRPr="007762FC">
        <w:rPr>
          <w:rFonts w:ascii="Times New Roman" w:hAnsi="Times New Roman"/>
          <w:u w:val="single"/>
        </w:rPr>
        <w:t>Kč</w:t>
      </w:r>
    </w:p>
    <w:p w14:paraId="51347873" w14:textId="77777777" w:rsidR="007F3247" w:rsidRPr="007762FC" w:rsidRDefault="007F3247" w:rsidP="00CD40A6">
      <w:pPr>
        <w:spacing w:before="120" w:line="240" w:lineRule="auto"/>
        <w:rPr>
          <w:rFonts w:ascii="Times New Roman" w:hAnsi="Times New Roman"/>
          <w:szCs w:val="24"/>
        </w:rPr>
      </w:pPr>
      <w:r w:rsidRPr="007762FC">
        <w:rPr>
          <w:rFonts w:ascii="Times New Roman" w:hAnsi="Times New Roman"/>
          <w:szCs w:val="24"/>
        </w:rPr>
        <w:t>V rámci Integrovaného regionálního operačního programu (IROP) bude možné čerpat v programovém období 2014 – 2020 finanční prostředky na zvyšování efektivity a</w:t>
      </w:r>
      <w:r w:rsidR="007762FC" w:rsidRPr="007762FC">
        <w:rPr>
          <w:rFonts w:ascii="Times New Roman" w:hAnsi="Times New Roman"/>
          <w:szCs w:val="24"/>
        </w:rPr>
        <w:t> </w:t>
      </w:r>
      <w:r w:rsidRPr="007762FC">
        <w:rPr>
          <w:rFonts w:ascii="Times New Roman" w:hAnsi="Times New Roman"/>
          <w:szCs w:val="24"/>
        </w:rPr>
        <w:t>transparentnosti veřejné správy prostřednictvím rozvoje využití a kvality systémů informačních a komunikačních technologií. Specifický cíl 3.2 (</w:t>
      </w:r>
      <w:r w:rsidRPr="007762FC">
        <w:rPr>
          <w:rFonts w:ascii="Times New Roman" w:hAnsi="Times New Roman"/>
        </w:rPr>
        <w:t xml:space="preserve">podprogram 134V712) </w:t>
      </w:r>
      <w:r w:rsidRPr="007762FC">
        <w:rPr>
          <w:rFonts w:ascii="Times New Roman" w:hAnsi="Times New Roman"/>
          <w:szCs w:val="24"/>
        </w:rPr>
        <w:t xml:space="preserve">naplňuje tematicky cíl č. 2 Posilování aplikací v oblasti IKT určených pro elektronickou veřejnou správu, elektronické určení, začlenění do informační společnosti, elektronickou kulturu a elektronické zdravotnictví. Na specifický cíl (dále jen SC) je vyčleněno 7,12 % prostředků programu, tedy 330 247 845 EUR (tj. </w:t>
      </w:r>
      <w:r w:rsidRPr="007762FC">
        <w:rPr>
          <w:rFonts w:ascii="Times New Roman" w:hAnsi="Times New Roman"/>
        </w:rPr>
        <w:t>při kurzu 27,50 CZK/EUR</w:t>
      </w:r>
      <w:r w:rsidRPr="007762FC">
        <w:rPr>
          <w:rFonts w:ascii="Times New Roman" w:hAnsi="Times New Roman"/>
          <w:szCs w:val="24"/>
        </w:rPr>
        <w:t xml:space="preserve"> cca 9 mld. Kč). </w:t>
      </w:r>
    </w:p>
    <w:p w14:paraId="51347874" w14:textId="77777777" w:rsidR="007F3247" w:rsidRPr="007762FC" w:rsidRDefault="007F3247" w:rsidP="00CD40A6">
      <w:pPr>
        <w:spacing w:before="120" w:line="240" w:lineRule="auto"/>
        <w:rPr>
          <w:rFonts w:ascii="Times New Roman" w:hAnsi="Times New Roman"/>
          <w:szCs w:val="24"/>
        </w:rPr>
      </w:pPr>
      <w:r w:rsidRPr="007762FC">
        <w:rPr>
          <w:rFonts w:ascii="Times New Roman" w:hAnsi="Times New Roman"/>
          <w:szCs w:val="24"/>
        </w:rPr>
        <w:t>SC 3.2 přispěje k dosažení vysoké kvality služeb veřejné správy koordinovaným propojením a</w:t>
      </w:r>
      <w:r w:rsidR="00464C08">
        <w:rPr>
          <w:rFonts w:ascii="Times New Roman" w:hAnsi="Times New Roman"/>
          <w:szCs w:val="24"/>
        </w:rPr>
        <w:t> </w:t>
      </w:r>
      <w:r w:rsidRPr="007762FC">
        <w:rPr>
          <w:rFonts w:ascii="Times New Roman" w:hAnsi="Times New Roman"/>
          <w:szCs w:val="24"/>
        </w:rPr>
        <w:t xml:space="preserve">sdílením informací a dat </w:t>
      </w:r>
      <w:r w:rsidR="00464C08" w:rsidRPr="007762FC">
        <w:rPr>
          <w:rFonts w:ascii="Times New Roman" w:hAnsi="Times New Roman"/>
          <w:szCs w:val="24"/>
        </w:rPr>
        <w:t>veřejné správy</w:t>
      </w:r>
      <w:r w:rsidRPr="007762FC">
        <w:rPr>
          <w:rFonts w:ascii="Times New Roman" w:hAnsi="Times New Roman"/>
          <w:szCs w:val="24"/>
        </w:rPr>
        <w:t xml:space="preserve">, dokončením procesu elektronizace agend </w:t>
      </w:r>
      <w:r w:rsidR="00464C08" w:rsidRPr="007762FC">
        <w:rPr>
          <w:rFonts w:ascii="Times New Roman" w:hAnsi="Times New Roman"/>
          <w:szCs w:val="24"/>
        </w:rPr>
        <w:t>veřejné správy</w:t>
      </w:r>
      <w:r w:rsidRPr="007762FC">
        <w:rPr>
          <w:rFonts w:ascii="Times New Roman" w:hAnsi="Times New Roman"/>
          <w:szCs w:val="24"/>
        </w:rPr>
        <w:t xml:space="preserve"> (eJustice, eCulture, eHealth, eProcurement, eSbirka, eLegislativa a eIdentita apod.) a</w:t>
      </w:r>
      <w:r w:rsidR="00464C08">
        <w:rPr>
          <w:rFonts w:ascii="Times New Roman" w:hAnsi="Times New Roman"/>
          <w:szCs w:val="24"/>
        </w:rPr>
        <w:t> </w:t>
      </w:r>
      <w:r w:rsidRPr="007762FC">
        <w:rPr>
          <w:rFonts w:ascii="Times New Roman" w:hAnsi="Times New Roman"/>
          <w:szCs w:val="24"/>
        </w:rPr>
        <w:t>zavedením úplného elektronického podání rozvojem služeb nad základními registry. Mezi další oblasti patří zajištění specifických informačních a komunikačních systémů, funkční infrastruktury a datových center pro naplnění standardů kybernetické bezpečnosti orgánů veřejné moci.</w:t>
      </w:r>
      <w:r w:rsidRPr="007762FC">
        <w:rPr>
          <w:rFonts w:ascii="Times New Roman" w:hAnsi="Times New Roman"/>
          <w:b/>
          <w:szCs w:val="24"/>
        </w:rPr>
        <w:t xml:space="preserve"> </w:t>
      </w:r>
      <w:r w:rsidRPr="007762FC">
        <w:rPr>
          <w:rFonts w:ascii="Times New Roman" w:hAnsi="Times New Roman"/>
          <w:szCs w:val="24"/>
        </w:rPr>
        <w:t>Ze SC 3.2 bude možné čerpat finanční prostředky na tyto typy intervencí: eGovernment, jmenovitě např. samoobslužné získání výpisů z některých registrů veřejné správy a elektronické podání vůči veřejné správě, propojování datového fondu, zajištění provozní spolehlivosti, interoperabilita atd., kybernetická bezpečnost, specifické informační a komunikační systémy a infrastruktura, zrychlení a zjednodušení vnitřních procesů a elektronizace vnitřních procesů aj.</w:t>
      </w:r>
    </w:p>
    <w:p w14:paraId="51347875" w14:textId="77777777" w:rsidR="007F3247" w:rsidRPr="007762FC" w:rsidRDefault="007F3247" w:rsidP="00CD40A6">
      <w:pPr>
        <w:spacing w:before="120" w:line="240" w:lineRule="auto"/>
      </w:pPr>
      <w:r w:rsidRPr="007762FC">
        <w:rPr>
          <w:rFonts w:ascii="Times New Roman" w:hAnsi="Times New Roman"/>
          <w:szCs w:val="24"/>
        </w:rPr>
        <w:t>Ministerstvo kultury se nachází před jedinečnou možností využít finančních prostředků pro</w:t>
      </w:r>
      <w:r w:rsidR="007762FC" w:rsidRPr="007762FC">
        <w:rPr>
          <w:rFonts w:ascii="Times New Roman" w:hAnsi="Times New Roman"/>
          <w:szCs w:val="24"/>
        </w:rPr>
        <w:t> </w:t>
      </w:r>
      <w:r w:rsidRPr="007762FC">
        <w:rPr>
          <w:rFonts w:ascii="Times New Roman" w:hAnsi="Times New Roman"/>
          <w:szCs w:val="24"/>
        </w:rPr>
        <w:t>projekty svých příspěvkových organizací z Evropských strukturálních a investičních fondů (konkrétně z Evropského fondu rozvoje regionů), kdy 80,863 % finančních prostředků bude poskytováno z EFRR. Ministerstvo kultury by z toho důvodu mělo pro projektové žádosti Ministerstva kultury a svých příspěvkových organizací zajistit 19,137% částku na</w:t>
      </w:r>
      <w:r w:rsidR="00412836" w:rsidRPr="007762FC">
        <w:rPr>
          <w:rFonts w:ascii="Times New Roman" w:hAnsi="Times New Roman"/>
          <w:szCs w:val="24"/>
        </w:rPr>
        <w:t> </w:t>
      </w:r>
      <w:r w:rsidRPr="007762FC">
        <w:rPr>
          <w:rFonts w:ascii="Times New Roman" w:hAnsi="Times New Roman"/>
          <w:szCs w:val="24"/>
        </w:rPr>
        <w:t xml:space="preserve">spolufinancování projektů (částka 19,137 % představuje povinné národní kofinancování). </w:t>
      </w:r>
      <w:r w:rsidRPr="007762FC">
        <w:rPr>
          <w:rFonts w:ascii="Times New Roman" w:hAnsi="Times New Roman"/>
        </w:rPr>
        <w:t xml:space="preserve">Z tohoto SC budou v rámci podprogramu 134V712 financovány projekty vyplývající z nutnosti zajistit zvyšování efektivity a transparentnosti </w:t>
      </w:r>
      <w:r w:rsidR="00464C08" w:rsidRPr="007762FC">
        <w:rPr>
          <w:rFonts w:ascii="Times New Roman" w:hAnsi="Times New Roman"/>
          <w:szCs w:val="24"/>
        </w:rPr>
        <w:t>veřejné správy</w:t>
      </w:r>
      <w:r w:rsidRPr="007762FC">
        <w:rPr>
          <w:rFonts w:ascii="Times New Roman" w:hAnsi="Times New Roman"/>
        </w:rPr>
        <w:t xml:space="preserve"> prostřednictvím rozvoje využití a</w:t>
      </w:r>
      <w:r w:rsidR="007762FC" w:rsidRPr="007762FC">
        <w:rPr>
          <w:rFonts w:ascii="Times New Roman" w:hAnsi="Times New Roman"/>
        </w:rPr>
        <w:t> </w:t>
      </w:r>
      <w:r w:rsidRPr="007762FC">
        <w:rPr>
          <w:rFonts w:ascii="Times New Roman" w:hAnsi="Times New Roman"/>
        </w:rPr>
        <w:t xml:space="preserve">kvality systémů </w:t>
      </w:r>
      <w:r w:rsidR="000E076D" w:rsidRPr="007762FC">
        <w:rPr>
          <w:rFonts w:ascii="Times New Roman" w:hAnsi="Times New Roman"/>
        </w:rPr>
        <w:t>informačních a komunikačních technologií.</w:t>
      </w:r>
      <w:r w:rsidRPr="007762FC">
        <w:rPr>
          <w:rFonts w:ascii="Times New Roman" w:hAnsi="Times New Roman"/>
        </w:rPr>
        <w:t xml:space="preserve"> Cílem je dosáhnout vysoké kvality služeb </w:t>
      </w:r>
      <w:r w:rsidR="00367756" w:rsidRPr="007762FC">
        <w:rPr>
          <w:rFonts w:ascii="Times New Roman" w:hAnsi="Times New Roman"/>
          <w:szCs w:val="24"/>
        </w:rPr>
        <w:t>veřejné správy</w:t>
      </w:r>
      <w:r w:rsidRPr="007762FC">
        <w:rPr>
          <w:rFonts w:ascii="Times New Roman" w:hAnsi="Times New Roman"/>
        </w:rPr>
        <w:t xml:space="preserve"> propojením a sdílením informací a dat a</w:t>
      </w:r>
      <w:r w:rsidR="00367756">
        <w:rPr>
          <w:rFonts w:ascii="Times New Roman" w:hAnsi="Times New Roman"/>
        </w:rPr>
        <w:t> </w:t>
      </w:r>
      <w:r w:rsidRPr="007762FC">
        <w:rPr>
          <w:rFonts w:ascii="Times New Roman" w:hAnsi="Times New Roman"/>
        </w:rPr>
        <w:t xml:space="preserve">dokončením procesu elektronizace agend </w:t>
      </w:r>
      <w:r w:rsidR="00367756" w:rsidRPr="007762FC">
        <w:rPr>
          <w:rFonts w:ascii="Times New Roman" w:hAnsi="Times New Roman"/>
          <w:szCs w:val="24"/>
        </w:rPr>
        <w:t>veřejné správy</w:t>
      </w:r>
      <w:r w:rsidRPr="007762FC">
        <w:rPr>
          <w:rFonts w:ascii="Times New Roman" w:hAnsi="Times New Roman"/>
        </w:rPr>
        <w:t xml:space="preserve"> (zavedení úplného elektronického podání rozvojem služeb nad základními registry). Pro rok 2016 bylo z dosud získaných podkladů uvažováno s počtem 23 projektů </w:t>
      </w:r>
      <w:r w:rsidR="007762FC" w:rsidRPr="007762FC">
        <w:rPr>
          <w:rFonts w:ascii="Times New Roman" w:hAnsi="Times New Roman"/>
        </w:rPr>
        <w:t>Ministerstva kultury a příspěvkových organizací Ministerstva kultury.</w:t>
      </w:r>
    </w:p>
    <w:p w14:paraId="51347876" w14:textId="77777777" w:rsidR="00A52EE8" w:rsidRPr="000E5EF2" w:rsidRDefault="00A52EE8" w:rsidP="000E5EF2">
      <w:pPr>
        <w:pStyle w:val="Zhlav"/>
        <w:spacing w:before="120"/>
        <w:rPr>
          <w:rFonts w:ascii="Times New Roman" w:hAnsi="Times New Roman"/>
        </w:rPr>
      </w:pPr>
      <w:r w:rsidRPr="007762FC">
        <w:rPr>
          <w:rFonts w:ascii="Times New Roman" w:hAnsi="Times New Roman"/>
        </w:rPr>
        <w:lastRenderedPageBreak/>
        <w:t>Údaje za podprogram jsou uvedeny ve Formuláři č. 9/1</w:t>
      </w:r>
      <w:r w:rsidRPr="007762FC">
        <w:rPr>
          <w:rFonts w:ascii="Times New Roman" w:hAnsi="Times New Roman"/>
          <w:i/>
        </w:rPr>
        <w:t>.</w:t>
      </w:r>
    </w:p>
    <w:p w14:paraId="51347877" w14:textId="77777777" w:rsidR="00B81A8D" w:rsidRPr="000E5EF2" w:rsidRDefault="00B81A8D" w:rsidP="00CD40A6">
      <w:pPr>
        <w:spacing w:before="120" w:line="240" w:lineRule="auto"/>
        <w:rPr>
          <w:rFonts w:ascii="Times New Roman" w:hAnsi="Times New Roman"/>
          <w:u w:val="single"/>
        </w:rPr>
      </w:pPr>
      <w:r w:rsidRPr="000E5EF2">
        <w:rPr>
          <w:rFonts w:ascii="Times New Roman" w:hAnsi="Times New Roman"/>
          <w:u w:val="single"/>
        </w:rPr>
        <w:t>Operační program Zaměstnanost</w:t>
      </w:r>
      <w:r w:rsidR="003B4360" w:rsidRPr="000E5EF2">
        <w:rPr>
          <w:rFonts w:ascii="Times New Roman" w:hAnsi="Times New Roman"/>
          <w:u w:val="single"/>
        </w:rPr>
        <w:tab/>
      </w:r>
      <w:r w:rsidR="003B4360" w:rsidRPr="000E5EF2">
        <w:rPr>
          <w:rFonts w:ascii="Times New Roman" w:hAnsi="Times New Roman"/>
          <w:u w:val="single"/>
        </w:rPr>
        <w:tab/>
      </w:r>
      <w:r w:rsidR="003B4360" w:rsidRPr="000E5EF2">
        <w:rPr>
          <w:rFonts w:ascii="Times New Roman" w:hAnsi="Times New Roman"/>
          <w:u w:val="single"/>
        </w:rPr>
        <w:tab/>
      </w:r>
      <w:r w:rsidR="003B4360" w:rsidRPr="000E5EF2">
        <w:rPr>
          <w:rFonts w:ascii="Times New Roman" w:hAnsi="Times New Roman"/>
          <w:u w:val="single"/>
        </w:rPr>
        <w:tab/>
      </w:r>
      <w:r w:rsidR="003B4360" w:rsidRPr="000E5EF2">
        <w:rPr>
          <w:rFonts w:ascii="Times New Roman" w:hAnsi="Times New Roman"/>
          <w:u w:val="single"/>
        </w:rPr>
        <w:tab/>
      </w:r>
      <w:r w:rsidR="00704770" w:rsidRPr="000E5EF2">
        <w:rPr>
          <w:rFonts w:ascii="Times New Roman" w:hAnsi="Times New Roman"/>
          <w:u w:val="single"/>
        </w:rPr>
        <w:tab/>
      </w:r>
      <w:r w:rsidR="00386A2C" w:rsidRPr="000E5EF2">
        <w:rPr>
          <w:rFonts w:ascii="Times New Roman" w:hAnsi="Times New Roman"/>
          <w:u w:val="single"/>
        </w:rPr>
        <w:t>      </w:t>
      </w:r>
      <w:r w:rsidR="00704770" w:rsidRPr="000E5EF2">
        <w:rPr>
          <w:rFonts w:ascii="Times New Roman" w:hAnsi="Times New Roman"/>
          <w:u w:val="single"/>
        </w:rPr>
        <w:t>     </w:t>
      </w:r>
      <w:r w:rsidR="005F0BD0" w:rsidRPr="000E5EF2">
        <w:rPr>
          <w:rFonts w:ascii="Times New Roman" w:hAnsi="Times New Roman"/>
          <w:u w:val="single"/>
        </w:rPr>
        <w:t>6</w:t>
      </w:r>
      <w:r w:rsidR="007F3247" w:rsidRPr="000E5EF2">
        <w:rPr>
          <w:rFonts w:ascii="Times New Roman" w:hAnsi="Times New Roman"/>
          <w:u w:val="single"/>
        </w:rPr>
        <w:t> 180 000</w:t>
      </w:r>
      <w:r w:rsidR="00704770" w:rsidRPr="000E5EF2">
        <w:rPr>
          <w:rFonts w:ascii="Times New Roman" w:hAnsi="Times New Roman"/>
          <w:u w:val="single"/>
        </w:rPr>
        <w:t> </w:t>
      </w:r>
      <w:r w:rsidR="003B4360" w:rsidRPr="000E5EF2">
        <w:rPr>
          <w:rFonts w:ascii="Times New Roman" w:hAnsi="Times New Roman"/>
          <w:u w:val="single"/>
        </w:rPr>
        <w:t>Kč</w:t>
      </w:r>
    </w:p>
    <w:p w14:paraId="51347878" w14:textId="77777777" w:rsidR="007F3247" w:rsidRPr="000E5EF2" w:rsidRDefault="007F3247" w:rsidP="00CD40A6">
      <w:pPr>
        <w:spacing w:before="120" w:line="240" w:lineRule="auto"/>
        <w:rPr>
          <w:rFonts w:ascii="Times New Roman" w:hAnsi="Times New Roman"/>
          <w:szCs w:val="24"/>
        </w:rPr>
      </w:pPr>
      <w:r w:rsidRPr="000E5EF2">
        <w:rPr>
          <w:rFonts w:ascii="Times New Roman" w:hAnsi="Times New Roman"/>
        </w:rPr>
        <w:t xml:space="preserve">V rámci OP Zaměstnanost (podprogram 134V713)  bude možné čerpat finanční prostředky z prioritní osy 4 Efektivní veřejná správa, tematicky naplňuje cíl č. 11 Posilování institucionální kapacity veřejných orgánů a zúčastněných stran a přispívá k účinné veřejné správě. Na tuto prioritní osu je vyčleněno 5,92 % prostředků programu, tedy </w:t>
      </w:r>
      <w:r w:rsidRPr="000E5EF2">
        <w:rPr>
          <w:rFonts w:ascii="Times New Roman" w:hAnsi="Times New Roman"/>
        </w:rPr>
        <w:br/>
        <w:t xml:space="preserve">127 112 251 EUR </w:t>
      </w:r>
      <w:r w:rsidRPr="000E5EF2">
        <w:rPr>
          <w:rFonts w:ascii="Times New Roman" w:hAnsi="Times New Roman"/>
          <w:szCs w:val="24"/>
        </w:rPr>
        <w:t xml:space="preserve">(tj. </w:t>
      </w:r>
      <w:r w:rsidRPr="000E5EF2">
        <w:rPr>
          <w:rFonts w:ascii="Times New Roman" w:hAnsi="Times New Roman"/>
        </w:rPr>
        <w:t>při kurzu 27,50 CZK/EUR</w:t>
      </w:r>
      <w:r w:rsidRPr="000E5EF2">
        <w:rPr>
          <w:rFonts w:ascii="Times New Roman" w:hAnsi="Times New Roman"/>
          <w:szCs w:val="24"/>
        </w:rPr>
        <w:t xml:space="preserve"> cca 3,5 mld. Kč).</w:t>
      </w:r>
    </w:p>
    <w:p w14:paraId="51347879" w14:textId="77777777" w:rsidR="007F3247" w:rsidRPr="000E5EF2" w:rsidRDefault="007F3247" w:rsidP="00CD40A6">
      <w:pPr>
        <w:spacing w:before="120" w:line="240" w:lineRule="auto"/>
        <w:rPr>
          <w:rFonts w:ascii="Times New Roman" w:hAnsi="Times New Roman"/>
          <w:szCs w:val="24"/>
        </w:rPr>
      </w:pPr>
      <w:r w:rsidRPr="000E5EF2">
        <w:rPr>
          <w:rFonts w:ascii="Times New Roman" w:hAnsi="Times New Roman"/>
        </w:rPr>
        <w:t>Projekty Ministerstva kultury a jejích příspěvkových organizací lze navázat na specifický cíl 4.1.1 Optimalizovat procesy a postupy ve veřejné správě zejména prostřednictvím posílení strategického řízení organizací, zvýšení kvality jejich fungování a snížení administrativní zátěže, který přispěje k dokončení reformních procesů veřejné správy realizací intervencí zaměřených na naplnění potřeb veřejné správy v oblastech nastavení a rozvoje řízení kvality, zkvalitnění strategického a projektového řízení, rozvoje procesů snižujících administrativní a</w:t>
      </w:r>
      <w:r w:rsidR="000E5EF2">
        <w:rPr>
          <w:rFonts w:ascii="Times New Roman" w:hAnsi="Times New Roman"/>
        </w:rPr>
        <w:t> </w:t>
      </w:r>
      <w:r w:rsidRPr="000E5EF2">
        <w:rPr>
          <w:rFonts w:ascii="Times New Roman" w:hAnsi="Times New Roman"/>
        </w:rPr>
        <w:t xml:space="preserve">regulační zátěž, zlepšení komunikace a předávání informací mezi veřejnou správou samotnou a občany či dokončení procesního modelování agend. </w:t>
      </w:r>
      <w:r w:rsidRPr="000E5EF2">
        <w:rPr>
          <w:rFonts w:ascii="Times New Roman" w:hAnsi="Times New Roman"/>
          <w:szCs w:val="24"/>
        </w:rPr>
        <w:t xml:space="preserve">Ze SC 4.1.1 bude možné čerpat finanční prostředky na tyto typy intervencí: dokončení </w:t>
      </w:r>
      <w:r w:rsidRPr="000E5EF2">
        <w:rPr>
          <w:rFonts w:ascii="Times New Roman" w:hAnsi="Times New Roman"/>
        </w:rPr>
        <w:t xml:space="preserve">reformních procesů </w:t>
      </w:r>
      <w:r w:rsidR="000E5EF2">
        <w:rPr>
          <w:rFonts w:ascii="Times New Roman" w:hAnsi="Times New Roman"/>
        </w:rPr>
        <w:t xml:space="preserve">veřejné správy </w:t>
      </w:r>
      <w:r w:rsidRPr="000E5EF2">
        <w:rPr>
          <w:rFonts w:ascii="Times New Roman" w:hAnsi="Times New Roman"/>
        </w:rPr>
        <w:t xml:space="preserve">realizací intervencí zaměřených na naplnění potřeb </w:t>
      </w:r>
      <w:r w:rsidR="000E5EF2">
        <w:rPr>
          <w:rFonts w:ascii="Times New Roman" w:hAnsi="Times New Roman"/>
        </w:rPr>
        <w:t>veřejné správy</w:t>
      </w:r>
      <w:r w:rsidRPr="000E5EF2">
        <w:rPr>
          <w:rFonts w:ascii="Times New Roman" w:hAnsi="Times New Roman"/>
        </w:rPr>
        <w:t xml:space="preserve"> v oblastech nastavení a rozvoje řízení kvality, zkvalitnění strategického a projektového řízení, rozvoje procesů snižujících administrativní a regulační zátěž, zlepšení komunikace a předávání informací mezi </w:t>
      </w:r>
      <w:r w:rsidR="000E5EF2">
        <w:rPr>
          <w:rFonts w:ascii="Times New Roman" w:hAnsi="Times New Roman"/>
        </w:rPr>
        <w:t>veřejnou správou</w:t>
      </w:r>
      <w:r w:rsidRPr="000E5EF2">
        <w:rPr>
          <w:rFonts w:ascii="Times New Roman" w:hAnsi="Times New Roman"/>
        </w:rPr>
        <w:t xml:space="preserve"> samotnou a občany či dokončení procesního modelování agend.</w:t>
      </w:r>
      <w:r w:rsidRPr="000E5EF2">
        <w:rPr>
          <w:rFonts w:ascii="Times New Roman" w:hAnsi="Times New Roman"/>
          <w:szCs w:val="24"/>
        </w:rPr>
        <w:t xml:space="preserve"> </w:t>
      </w:r>
    </w:p>
    <w:p w14:paraId="5134787A" w14:textId="77777777" w:rsidR="007F3247" w:rsidRPr="000E5EF2" w:rsidRDefault="007F3247" w:rsidP="00CD40A6">
      <w:pPr>
        <w:spacing w:before="120" w:line="240" w:lineRule="auto"/>
        <w:rPr>
          <w:rFonts w:ascii="Times New Roman" w:hAnsi="Times New Roman"/>
        </w:rPr>
      </w:pPr>
      <w:r w:rsidRPr="000E5EF2">
        <w:rPr>
          <w:rFonts w:ascii="Times New Roman" w:hAnsi="Times New Roman"/>
        </w:rPr>
        <w:t>Dále na specifický cíl 4.1.2 Profesionalizovat veřejnou správu zejména prostřednictvím zvyšování znalostí a dovedností jejích pracovníků, rozvoje politik a strategií v oblasti lidských zdrojů a implementace služebního zákona. Specifický cíl 4.1.2 přispěje k dokončení reformních procesů veřejné správy prostřednictvím realizace intervencí zaměřených na</w:t>
      </w:r>
      <w:r w:rsidR="00412836" w:rsidRPr="000E5EF2">
        <w:rPr>
          <w:rFonts w:ascii="Times New Roman" w:hAnsi="Times New Roman"/>
        </w:rPr>
        <w:t> </w:t>
      </w:r>
      <w:r w:rsidRPr="000E5EF2">
        <w:rPr>
          <w:rFonts w:ascii="Times New Roman" w:hAnsi="Times New Roman"/>
        </w:rPr>
        <w:t>naplnění konkrétních potřeb v oblastech realizace specifických vzdělávacích a</w:t>
      </w:r>
      <w:r w:rsidR="00412836" w:rsidRPr="000E5EF2">
        <w:rPr>
          <w:rFonts w:ascii="Times New Roman" w:hAnsi="Times New Roman"/>
        </w:rPr>
        <w:t> </w:t>
      </w:r>
      <w:r w:rsidRPr="000E5EF2">
        <w:rPr>
          <w:rFonts w:ascii="Times New Roman" w:hAnsi="Times New Roman"/>
        </w:rPr>
        <w:t>výcvikových programů, optimalizace řízení lidských zdrojů v institucích veřejné správy a</w:t>
      </w:r>
      <w:r w:rsidR="00412836" w:rsidRPr="000E5EF2">
        <w:rPr>
          <w:rFonts w:ascii="Times New Roman" w:hAnsi="Times New Roman"/>
        </w:rPr>
        <w:t> </w:t>
      </w:r>
      <w:r w:rsidRPr="000E5EF2">
        <w:rPr>
          <w:rFonts w:ascii="Times New Roman" w:hAnsi="Times New Roman"/>
        </w:rPr>
        <w:t xml:space="preserve">profesionalizace státní služby. Ministerstvo kultury se nachází před jedinečnou možností využít finančních prostředků pro projekty svých příspěvkových organizací z Evropských strukturálních a investičních fondů (konkrétně z Evropského sociálního fondu), kdy 80,863 % finančních prostředků bude poskytováno z ESF. Ministerstvo kultury by z toho důvodu mělo pro projektové žádosti Ministerstva kultury a svých příspěvkových organizací zajistit </w:t>
      </w:r>
      <w:r w:rsidR="006F783F" w:rsidRPr="000E5EF2">
        <w:rPr>
          <w:rFonts w:ascii="Times New Roman" w:hAnsi="Times New Roman"/>
        </w:rPr>
        <w:br/>
      </w:r>
      <w:r w:rsidRPr="000E5EF2">
        <w:rPr>
          <w:rFonts w:ascii="Times New Roman" w:hAnsi="Times New Roman"/>
        </w:rPr>
        <w:t>19,137</w:t>
      </w:r>
      <w:r w:rsidR="0076650F" w:rsidRPr="000E5EF2">
        <w:rPr>
          <w:rFonts w:ascii="Times New Roman" w:hAnsi="Times New Roman"/>
        </w:rPr>
        <w:t xml:space="preserve"> </w:t>
      </w:r>
      <w:r w:rsidRPr="000E5EF2">
        <w:rPr>
          <w:rFonts w:ascii="Times New Roman" w:hAnsi="Times New Roman"/>
        </w:rPr>
        <w:t xml:space="preserve">% částku na spolufinancování projektů (částka 19,137 % představuje povinné národní kofinancování). Pro prioritní osu 4 uvažuje </w:t>
      </w:r>
      <w:r w:rsidR="000E5EF2" w:rsidRPr="000E5EF2">
        <w:rPr>
          <w:rFonts w:ascii="Times New Roman" w:hAnsi="Times New Roman"/>
        </w:rPr>
        <w:t>Ministerstvo kultury</w:t>
      </w:r>
      <w:r w:rsidRPr="000E5EF2">
        <w:rPr>
          <w:rFonts w:ascii="Times New Roman" w:hAnsi="Times New Roman"/>
        </w:rPr>
        <w:t xml:space="preserve"> pro rok 2016 s počtem projektů ve výši 40 pro příspěvkové organizace a 6 za </w:t>
      </w:r>
      <w:r w:rsidR="000E5EF2" w:rsidRPr="000E5EF2">
        <w:rPr>
          <w:rFonts w:ascii="Times New Roman" w:hAnsi="Times New Roman"/>
        </w:rPr>
        <w:t>Ministerstvo kultury</w:t>
      </w:r>
      <w:r w:rsidRPr="000E5EF2">
        <w:rPr>
          <w:rFonts w:ascii="Times New Roman" w:hAnsi="Times New Roman"/>
        </w:rPr>
        <w:t xml:space="preserve">. </w:t>
      </w:r>
    </w:p>
    <w:p w14:paraId="5134787B" w14:textId="77777777" w:rsidR="0074356E" w:rsidRPr="00654D99" w:rsidRDefault="00A52EE8" w:rsidP="00CD40A6">
      <w:pPr>
        <w:pStyle w:val="Zhlav"/>
        <w:spacing w:before="120"/>
        <w:rPr>
          <w:rFonts w:ascii="Times New Roman" w:hAnsi="Times New Roman"/>
          <w:i/>
        </w:rPr>
      </w:pPr>
      <w:r w:rsidRPr="000E5EF2">
        <w:rPr>
          <w:rFonts w:ascii="Times New Roman" w:hAnsi="Times New Roman"/>
        </w:rPr>
        <w:t>Údaje za podprogram jsou uvedeny ve Formuláři č. 9/1</w:t>
      </w:r>
      <w:r w:rsidRPr="000E5EF2">
        <w:rPr>
          <w:rFonts w:ascii="Times New Roman" w:hAnsi="Times New Roman"/>
          <w:i/>
        </w:rPr>
        <w:t>.</w:t>
      </w:r>
    </w:p>
    <w:p w14:paraId="5134787C" w14:textId="77777777" w:rsidR="0074356E" w:rsidRDefault="0074356E" w:rsidP="00CD40A6">
      <w:pPr>
        <w:pStyle w:val="Zhlav"/>
        <w:spacing w:before="120"/>
        <w:rPr>
          <w:rFonts w:ascii="Times New Roman" w:hAnsi="Times New Roman"/>
        </w:rPr>
      </w:pPr>
    </w:p>
    <w:p w14:paraId="5134787D" w14:textId="77777777" w:rsidR="00654D99" w:rsidRDefault="00654D99" w:rsidP="00CD40A6">
      <w:pPr>
        <w:pStyle w:val="Zhlav"/>
        <w:spacing w:before="120"/>
        <w:rPr>
          <w:rFonts w:ascii="Times New Roman" w:hAnsi="Times New Roman"/>
        </w:rPr>
      </w:pPr>
    </w:p>
    <w:p w14:paraId="5134787E" w14:textId="77777777" w:rsidR="00654D99" w:rsidRDefault="00654D99" w:rsidP="00CD40A6">
      <w:pPr>
        <w:pStyle w:val="Zhlav"/>
        <w:spacing w:before="120"/>
        <w:rPr>
          <w:rFonts w:ascii="Times New Roman" w:hAnsi="Times New Roman"/>
        </w:rPr>
      </w:pPr>
    </w:p>
    <w:p w14:paraId="5134787F" w14:textId="77777777" w:rsidR="00654D99" w:rsidRDefault="00654D99" w:rsidP="00CD40A6">
      <w:pPr>
        <w:pStyle w:val="Zhlav"/>
        <w:spacing w:before="120"/>
        <w:rPr>
          <w:rFonts w:ascii="Times New Roman" w:hAnsi="Times New Roman"/>
        </w:rPr>
      </w:pPr>
    </w:p>
    <w:p w14:paraId="51347880" w14:textId="77777777" w:rsidR="00654D99" w:rsidRDefault="00654D99" w:rsidP="00CD40A6">
      <w:pPr>
        <w:pStyle w:val="Zhlav"/>
        <w:spacing w:before="120"/>
        <w:rPr>
          <w:rFonts w:ascii="Times New Roman" w:hAnsi="Times New Roman"/>
        </w:rPr>
      </w:pPr>
    </w:p>
    <w:p w14:paraId="51347881" w14:textId="77777777" w:rsidR="00654D99" w:rsidRPr="0074356E" w:rsidRDefault="00654D99" w:rsidP="00CD40A6">
      <w:pPr>
        <w:pStyle w:val="Zhlav"/>
        <w:spacing w:before="120"/>
        <w:rPr>
          <w:rFonts w:ascii="Times New Roman" w:hAnsi="Times New Roman"/>
        </w:rPr>
      </w:pPr>
    </w:p>
    <w:p w14:paraId="51347882" w14:textId="77777777" w:rsidR="00605D31" w:rsidRPr="00F173B8" w:rsidRDefault="00605D31" w:rsidP="001D72D6">
      <w:pPr>
        <w:pStyle w:val="Nadpis2"/>
      </w:pPr>
      <w:bookmarkStart w:id="11" w:name="_Toc431911985"/>
      <w:r w:rsidRPr="00F173B8">
        <w:lastRenderedPageBreak/>
        <w:t>B. V.</w:t>
      </w:r>
      <w:r w:rsidR="002D6A2C" w:rsidRPr="00F173B8">
        <w:t xml:space="preserve"> </w:t>
      </w:r>
      <w:r w:rsidRPr="00F173B8">
        <w:t>Kulturní služby, podpora živého umění</w:t>
      </w:r>
      <w:bookmarkEnd w:id="11"/>
    </w:p>
    <w:p w14:paraId="51347883" w14:textId="77777777" w:rsidR="000A0047" w:rsidRPr="00F86015" w:rsidRDefault="002E1400" w:rsidP="000F2057">
      <w:pPr>
        <w:rPr>
          <w:rFonts w:ascii="Times New Roman" w:hAnsi="Times New Roman"/>
          <w:sz w:val="20"/>
        </w:rPr>
      </w:pPr>
      <w:r w:rsidRPr="000E5EF2">
        <w:rPr>
          <w:rFonts w:ascii="Times New Roman" w:hAnsi="Times New Roman"/>
        </w:rPr>
        <w:tab/>
      </w:r>
      <w:r w:rsidRPr="000E5EF2">
        <w:rPr>
          <w:rFonts w:ascii="Times New Roman" w:hAnsi="Times New Roman"/>
        </w:rPr>
        <w:tab/>
      </w:r>
      <w:r w:rsidRPr="000E5EF2">
        <w:rPr>
          <w:rFonts w:ascii="Times New Roman" w:hAnsi="Times New Roman"/>
        </w:rPr>
        <w:tab/>
      </w:r>
      <w:r w:rsidRPr="000E5EF2">
        <w:rPr>
          <w:rFonts w:ascii="Times New Roman" w:hAnsi="Times New Roman"/>
        </w:rPr>
        <w:tab/>
      </w:r>
      <w:r w:rsidRPr="000E5EF2">
        <w:rPr>
          <w:rFonts w:ascii="Times New Roman" w:hAnsi="Times New Roman"/>
        </w:rPr>
        <w:tab/>
      </w:r>
      <w:r w:rsidRPr="000E5EF2">
        <w:rPr>
          <w:rFonts w:ascii="Times New Roman" w:hAnsi="Times New Roman"/>
        </w:rPr>
        <w:tab/>
      </w:r>
      <w:r w:rsidRPr="000E5EF2">
        <w:rPr>
          <w:rFonts w:ascii="Times New Roman" w:hAnsi="Times New Roman"/>
        </w:rPr>
        <w:tab/>
      </w:r>
      <w:r w:rsidRPr="000E5EF2">
        <w:rPr>
          <w:rFonts w:ascii="Times New Roman" w:hAnsi="Times New Roman"/>
        </w:rPr>
        <w:tab/>
      </w:r>
      <w:r w:rsidRPr="000E5EF2">
        <w:rPr>
          <w:rFonts w:ascii="Times New Roman" w:hAnsi="Times New Roman"/>
        </w:rPr>
        <w:tab/>
      </w:r>
      <w:r w:rsidRPr="000E5EF2">
        <w:rPr>
          <w:rFonts w:ascii="Times New Roman" w:hAnsi="Times New Roman"/>
        </w:rPr>
        <w:tab/>
      </w:r>
      <w:r w:rsidRPr="000E5EF2">
        <w:rPr>
          <w:rFonts w:ascii="Times New Roman" w:hAnsi="Times New Roman"/>
        </w:rPr>
        <w:tab/>
      </w:r>
      <w:r w:rsidRPr="000E5EF2">
        <w:rPr>
          <w:rFonts w:ascii="Times New Roman" w:hAnsi="Times New Roman"/>
        </w:rPr>
        <w:tab/>
      </w:r>
      <w:r w:rsidRPr="00F86015">
        <w:rPr>
          <w:rFonts w:ascii="Times New Roman" w:hAnsi="Times New Roman"/>
          <w:sz w:val="20"/>
        </w:rPr>
        <w:t>v</w:t>
      </w:r>
      <w:r w:rsidR="001318F1" w:rsidRPr="00F86015">
        <w:rPr>
          <w:rFonts w:ascii="Times New Roman" w:hAnsi="Times New Roman"/>
          <w:sz w:val="20"/>
        </w:rPr>
        <w:t> </w:t>
      </w:r>
      <w:r w:rsidRPr="00F86015">
        <w:rPr>
          <w:rFonts w:ascii="Times New Roman" w:hAnsi="Times New Roman"/>
          <w:sz w:val="20"/>
        </w:rPr>
        <w:t>Kč</w:t>
      </w:r>
    </w:p>
    <w:tbl>
      <w:tblPr>
        <w:tblW w:w="9087" w:type="dxa"/>
        <w:tblInd w:w="55" w:type="dxa"/>
        <w:tblCellMar>
          <w:left w:w="70" w:type="dxa"/>
          <w:right w:w="70" w:type="dxa"/>
        </w:tblCellMar>
        <w:tblLook w:val="04A0" w:firstRow="1" w:lastRow="0" w:firstColumn="1" w:lastColumn="0" w:noHBand="0" w:noVBand="1"/>
      </w:tblPr>
      <w:tblGrid>
        <w:gridCol w:w="440"/>
        <w:gridCol w:w="3686"/>
        <w:gridCol w:w="1701"/>
        <w:gridCol w:w="1559"/>
        <w:gridCol w:w="1701"/>
      </w:tblGrid>
      <w:tr w:rsidR="00015522" w:rsidRPr="000E5EF2" w14:paraId="51347889" w14:textId="77777777" w:rsidTr="001318F1">
        <w:trPr>
          <w:trHeight w:val="600"/>
        </w:trPr>
        <w:tc>
          <w:tcPr>
            <w:tcW w:w="4126" w:type="dxa"/>
            <w:gridSpan w:val="2"/>
            <w:tcBorders>
              <w:top w:val="single" w:sz="12" w:space="0" w:color="auto"/>
              <w:left w:val="single" w:sz="12" w:space="0" w:color="auto"/>
              <w:bottom w:val="single" w:sz="12" w:space="0" w:color="auto"/>
              <w:right w:val="single" w:sz="8" w:space="0" w:color="000000"/>
            </w:tcBorders>
            <w:shd w:val="clear" w:color="auto" w:fill="auto"/>
            <w:vAlign w:val="center"/>
            <w:hideMark/>
          </w:tcPr>
          <w:p w14:paraId="51347884" w14:textId="77777777" w:rsidR="00015522" w:rsidRPr="000E5EF2" w:rsidRDefault="00015522" w:rsidP="001318F1">
            <w:pPr>
              <w:spacing w:line="240" w:lineRule="auto"/>
              <w:jc w:val="center"/>
              <w:rPr>
                <w:rFonts w:ascii="Calibri" w:hAnsi="Calibri"/>
                <w:b/>
                <w:bCs/>
                <w:sz w:val="22"/>
                <w:szCs w:val="22"/>
              </w:rPr>
            </w:pPr>
            <w:r w:rsidRPr="000E5EF2">
              <w:rPr>
                <w:rFonts w:ascii="Calibri" w:hAnsi="Calibri"/>
                <w:b/>
                <w:bCs/>
                <w:sz w:val="22"/>
                <w:szCs w:val="22"/>
              </w:rPr>
              <w:t>Výdajový blok/okruh</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51347885"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SR 2015</w:t>
            </w:r>
          </w:p>
        </w:tc>
        <w:tc>
          <w:tcPr>
            <w:tcW w:w="1559" w:type="dxa"/>
            <w:tcBorders>
              <w:top w:val="single" w:sz="12" w:space="0" w:color="auto"/>
              <w:left w:val="nil"/>
              <w:bottom w:val="single" w:sz="12" w:space="0" w:color="auto"/>
              <w:right w:val="single" w:sz="8" w:space="0" w:color="auto"/>
            </w:tcBorders>
            <w:shd w:val="clear" w:color="auto" w:fill="auto"/>
            <w:vAlign w:val="center"/>
            <w:hideMark/>
          </w:tcPr>
          <w:p w14:paraId="51347886"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2016</w:t>
            </w:r>
          </w:p>
        </w:tc>
        <w:tc>
          <w:tcPr>
            <w:tcW w:w="1701" w:type="dxa"/>
            <w:tcBorders>
              <w:top w:val="single" w:sz="12" w:space="0" w:color="auto"/>
              <w:left w:val="nil"/>
              <w:bottom w:val="single" w:sz="12" w:space="0" w:color="auto"/>
              <w:right w:val="single" w:sz="12" w:space="0" w:color="auto"/>
            </w:tcBorders>
            <w:shd w:val="clear" w:color="auto" w:fill="auto"/>
            <w:vAlign w:val="center"/>
            <w:hideMark/>
          </w:tcPr>
          <w:p w14:paraId="51347887"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 xml:space="preserve"> Rozdíl</w:t>
            </w:r>
          </w:p>
          <w:p w14:paraId="51347888"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16 -SR 15</w:t>
            </w:r>
          </w:p>
        </w:tc>
      </w:tr>
      <w:tr w:rsidR="001318F1" w:rsidRPr="000E5EF2" w14:paraId="5134788E" w14:textId="77777777" w:rsidTr="001318F1">
        <w:trPr>
          <w:trHeight w:val="312"/>
        </w:trPr>
        <w:tc>
          <w:tcPr>
            <w:tcW w:w="4126" w:type="dxa"/>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5134788A" w14:textId="77777777" w:rsidR="001318F1" w:rsidRPr="000E5EF2" w:rsidRDefault="001318F1" w:rsidP="001318F1">
            <w:pPr>
              <w:spacing w:line="240" w:lineRule="auto"/>
              <w:jc w:val="left"/>
              <w:rPr>
                <w:rFonts w:ascii="Calibri" w:hAnsi="Calibri"/>
                <w:sz w:val="22"/>
                <w:szCs w:val="22"/>
              </w:rPr>
            </w:pPr>
            <w:r w:rsidRPr="000E5EF2">
              <w:rPr>
                <w:rFonts w:ascii="Calibri" w:hAnsi="Calibri"/>
                <w:sz w:val="22"/>
                <w:szCs w:val="22"/>
              </w:rPr>
              <w:t>Kulturní služby, podpora živého umění</w:t>
            </w:r>
          </w:p>
        </w:tc>
        <w:tc>
          <w:tcPr>
            <w:tcW w:w="1701" w:type="dxa"/>
            <w:tcBorders>
              <w:top w:val="nil"/>
              <w:left w:val="nil"/>
              <w:bottom w:val="single" w:sz="8" w:space="0" w:color="auto"/>
              <w:right w:val="single" w:sz="8" w:space="0" w:color="auto"/>
            </w:tcBorders>
            <w:shd w:val="clear" w:color="auto" w:fill="auto"/>
            <w:vAlign w:val="center"/>
            <w:hideMark/>
          </w:tcPr>
          <w:p w14:paraId="5134788B" w14:textId="77777777" w:rsidR="001318F1" w:rsidRPr="000E5EF2" w:rsidRDefault="001318F1" w:rsidP="001318F1">
            <w:pPr>
              <w:spacing w:line="240" w:lineRule="auto"/>
              <w:jc w:val="right"/>
              <w:rPr>
                <w:rFonts w:ascii="Calibri" w:hAnsi="Calibri"/>
                <w:sz w:val="22"/>
                <w:szCs w:val="22"/>
              </w:rPr>
            </w:pPr>
            <w:r w:rsidRPr="000E5EF2">
              <w:rPr>
                <w:rFonts w:ascii="Calibri" w:hAnsi="Calibri"/>
                <w:sz w:val="22"/>
                <w:szCs w:val="22"/>
              </w:rPr>
              <w:t>604 320 110</w:t>
            </w:r>
          </w:p>
        </w:tc>
        <w:tc>
          <w:tcPr>
            <w:tcW w:w="1559" w:type="dxa"/>
            <w:tcBorders>
              <w:top w:val="nil"/>
              <w:left w:val="nil"/>
              <w:bottom w:val="single" w:sz="8" w:space="0" w:color="auto"/>
              <w:right w:val="single" w:sz="8" w:space="0" w:color="auto"/>
            </w:tcBorders>
            <w:shd w:val="clear" w:color="auto" w:fill="auto"/>
            <w:vAlign w:val="center"/>
            <w:hideMark/>
          </w:tcPr>
          <w:p w14:paraId="5134788C" w14:textId="77777777" w:rsidR="001318F1" w:rsidRPr="000E5EF2" w:rsidRDefault="001318F1" w:rsidP="001318F1">
            <w:pPr>
              <w:spacing w:line="240" w:lineRule="auto"/>
              <w:jc w:val="right"/>
              <w:rPr>
                <w:rFonts w:ascii="Calibri" w:hAnsi="Calibri"/>
                <w:sz w:val="22"/>
                <w:szCs w:val="22"/>
              </w:rPr>
            </w:pPr>
            <w:r w:rsidRPr="000E5EF2">
              <w:rPr>
                <w:rFonts w:ascii="Calibri" w:hAnsi="Calibri"/>
                <w:sz w:val="22"/>
                <w:szCs w:val="22"/>
              </w:rPr>
              <w:t>688 442 783</w:t>
            </w:r>
          </w:p>
        </w:tc>
        <w:tc>
          <w:tcPr>
            <w:tcW w:w="1701" w:type="dxa"/>
            <w:tcBorders>
              <w:top w:val="nil"/>
              <w:left w:val="nil"/>
              <w:bottom w:val="single" w:sz="8" w:space="0" w:color="auto"/>
              <w:right w:val="single" w:sz="12" w:space="0" w:color="auto"/>
            </w:tcBorders>
            <w:shd w:val="clear" w:color="auto" w:fill="auto"/>
            <w:vAlign w:val="center"/>
            <w:hideMark/>
          </w:tcPr>
          <w:p w14:paraId="5134788D" w14:textId="77777777" w:rsidR="001318F1" w:rsidRPr="000E5EF2" w:rsidRDefault="001318F1" w:rsidP="001318F1">
            <w:pPr>
              <w:spacing w:line="240" w:lineRule="auto"/>
              <w:jc w:val="right"/>
              <w:rPr>
                <w:rFonts w:ascii="Calibri" w:hAnsi="Calibri"/>
                <w:sz w:val="22"/>
                <w:szCs w:val="22"/>
              </w:rPr>
            </w:pPr>
            <w:r w:rsidRPr="000E5EF2">
              <w:rPr>
                <w:rFonts w:ascii="Calibri" w:hAnsi="Calibri"/>
                <w:sz w:val="22"/>
                <w:szCs w:val="22"/>
              </w:rPr>
              <w:t>84 122 673</w:t>
            </w:r>
          </w:p>
        </w:tc>
      </w:tr>
      <w:tr w:rsidR="001318F1" w:rsidRPr="000E5EF2" w14:paraId="51347894" w14:textId="77777777" w:rsidTr="00F027B5">
        <w:trPr>
          <w:trHeight w:val="1022"/>
        </w:trPr>
        <w:tc>
          <w:tcPr>
            <w:tcW w:w="440" w:type="dxa"/>
            <w:tcBorders>
              <w:top w:val="nil"/>
              <w:left w:val="single" w:sz="12" w:space="0" w:color="auto"/>
              <w:bottom w:val="single" w:sz="8" w:space="0" w:color="auto"/>
              <w:right w:val="single" w:sz="8" w:space="0" w:color="auto"/>
            </w:tcBorders>
            <w:shd w:val="clear" w:color="auto" w:fill="auto"/>
            <w:vAlign w:val="center"/>
            <w:hideMark/>
          </w:tcPr>
          <w:p w14:paraId="5134788F" w14:textId="77777777" w:rsidR="001318F1" w:rsidRPr="000E5EF2" w:rsidRDefault="001318F1" w:rsidP="001318F1">
            <w:pPr>
              <w:spacing w:line="240" w:lineRule="auto"/>
              <w:jc w:val="left"/>
              <w:rPr>
                <w:rFonts w:ascii="Calibri" w:hAnsi="Calibri"/>
                <w:sz w:val="22"/>
                <w:szCs w:val="22"/>
              </w:rPr>
            </w:pPr>
            <w:r w:rsidRPr="000E5EF2">
              <w:rPr>
                <w:rFonts w:ascii="Calibri" w:hAnsi="Calibri"/>
                <w:sz w:val="22"/>
                <w:szCs w:val="22"/>
              </w:rPr>
              <w:t>a)</w:t>
            </w:r>
          </w:p>
        </w:tc>
        <w:tc>
          <w:tcPr>
            <w:tcW w:w="3686" w:type="dxa"/>
            <w:tcBorders>
              <w:top w:val="nil"/>
              <w:left w:val="nil"/>
              <w:bottom w:val="single" w:sz="8" w:space="0" w:color="auto"/>
              <w:right w:val="single" w:sz="8" w:space="0" w:color="auto"/>
            </w:tcBorders>
            <w:shd w:val="clear" w:color="auto" w:fill="auto"/>
            <w:vAlign w:val="center"/>
            <w:hideMark/>
          </w:tcPr>
          <w:p w14:paraId="51347890" w14:textId="77777777" w:rsidR="001318F1" w:rsidRPr="000E5EF2" w:rsidRDefault="001318F1" w:rsidP="001318F1">
            <w:pPr>
              <w:spacing w:line="240" w:lineRule="auto"/>
              <w:jc w:val="left"/>
              <w:rPr>
                <w:rFonts w:ascii="Calibri" w:hAnsi="Calibri"/>
                <w:sz w:val="22"/>
                <w:szCs w:val="22"/>
              </w:rPr>
            </w:pPr>
            <w:r w:rsidRPr="000E5EF2">
              <w:rPr>
                <w:rFonts w:ascii="Calibri" w:hAnsi="Calibri"/>
                <w:sz w:val="22"/>
                <w:szCs w:val="22"/>
              </w:rPr>
              <w:t>Program státní podpory profesionálních divadel a stálých profesionálních symfonických orchestrů a pěveckých sborů</w:t>
            </w:r>
          </w:p>
        </w:tc>
        <w:tc>
          <w:tcPr>
            <w:tcW w:w="1701" w:type="dxa"/>
            <w:tcBorders>
              <w:top w:val="nil"/>
              <w:left w:val="nil"/>
              <w:bottom w:val="single" w:sz="8" w:space="0" w:color="auto"/>
              <w:right w:val="single" w:sz="8" w:space="0" w:color="auto"/>
            </w:tcBorders>
            <w:shd w:val="clear" w:color="auto" w:fill="auto"/>
            <w:vAlign w:val="center"/>
            <w:hideMark/>
          </w:tcPr>
          <w:p w14:paraId="51347891" w14:textId="77777777" w:rsidR="001318F1" w:rsidRPr="000E5EF2" w:rsidRDefault="001318F1" w:rsidP="001318F1">
            <w:pPr>
              <w:spacing w:line="240" w:lineRule="auto"/>
              <w:jc w:val="right"/>
              <w:rPr>
                <w:rFonts w:ascii="Calibri" w:hAnsi="Calibri"/>
                <w:sz w:val="22"/>
                <w:szCs w:val="22"/>
              </w:rPr>
            </w:pPr>
            <w:r w:rsidRPr="000E5EF2">
              <w:rPr>
                <w:rFonts w:ascii="Calibri" w:hAnsi="Calibri"/>
                <w:sz w:val="22"/>
                <w:szCs w:val="22"/>
              </w:rPr>
              <w:t>75 000 000</w:t>
            </w:r>
          </w:p>
        </w:tc>
        <w:tc>
          <w:tcPr>
            <w:tcW w:w="1559" w:type="dxa"/>
            <w:tcBorders>
              <w:top w:val="nil"/>
              <w:left w:val="nil"/>
              <w:bottom w:val="single" w:sz="8" w:space="0" w:color="auto"/>
              <w:right w:val="single" w:sz="8" w:space="0" w:color="auto"/>
            </w:tcBorders>
            <w:shd w:val="clear" w:color="auto" w:fill="auto"/>
            <w:vAlign w:val="center"/>
            <w:hideMark/>
          </w:tcPr>
          <w:p w14:paraId="51347892" w14:textId="77777777" w:rsidR="001318F1" w:rsidRPr="000E5EF2" w:rsidRDefault="001318F1" w:rsidP="001318F1">
            <w:pPr>
              <w:spacing w:line="240" w:lineRule="auto"/>
              <w:jc w:val="right"/>
              <w:rPr>
                <w:rFonts w:ascii="Calibri" w:hAnsi="Calibri"/>
                <w:sz w:val="22"/>
                <w:szCs w:val="22"/>
              </w:rPr>
            </w:pPr>
            <w:r w:rsidRPr="000E5EF2">
              <w:rPr>
                <w:rFonts w:ascii="Calibri" w:hAnsi="Calibri"/>
                <w:sz w:val="22"/>
                <w:szCs w:val="22"/>
              </w:rPr>
              <w:t>91 726 000</w:t>
            </w:r>
          </w:p>
        </w:tc>
        <w:tc>
          <w:tcPr>
            <w:tcW w:w="1701" w:type="dxa"/>
            <w:tcBorders>
              <w:top w:val="nil"/>
              <w:left w:val="nil"/>
              <w:bottom w:val="single" w:sz="8" w:space="0" w:color="auto"/>
              <w:right w:val="single" w:sz="12" w:space="0" w:color="auto"/>
            </w:tcBorders>
            <w:shd w:val="clear" w:color="auto" w:fill="auto"/>
            <w:vAlign w:val="center"/>
            <w:hideMark/>
          </w:tcPr>
          <w:p w14:paraId="51347893" w14:textId="77777777" w:rsidR="001318F1" w:rsidRPr="000E5EF2" w:rsidRDefault="001318F1" w:rsidP="001318F1">
            <w:pPr>
              <w:spacing w:line="240" w:lineRule="auto"/>
              <w:jc w:val="right"/>
              <w:rPr>
                <w:rFonts w:ascii="Calibri" w:hAnsi="Calibri"/>
                <w:sz w:val="22"/>
                <w:szCs w:val="22"/>
              </w:rPr>
            </w:pPr>
            <w:r w:rsidRPr="000E5EF2">
              <w:rPr>
                <w:rFonts w:ascii="Calibri" w:hAnsi="Calibri"/>
                <w:sz w:val="22"/>
                <w:szCs w:val="22"/>
              </w:rPr>
              <w:t>16 726 000</w:t>
            </w:r>
          </w:p>
        </w:tc>
      </w:tr>
      <w:tr w:rsidR="001318F1" w:rsidRPr="000E5EF2" w14:paraId="5134789A" w14:textId="77777777" w:rsidTr="001318F1">
        <w:trPr>
          <w:trHeight w:val="300"/>
        </w:trPr>
        <w:tc>
          <w:tcPr>
            <w:tcW w:w="440" w:type="dxa"/>
            <w:tcBorders>
              <w:top w:val="nil"/>
              <w:left w:val="single" w:sz="12" w:space="0" w:color="auto"/>
              <w:bottom w:val="single" w:sz="8" w:space="0" w:color="auto"/>
              <w:right w:val="single" w:sz="8" w:space="0" w:color="auto"/>
            </w:tcBorders>
            <w:shd w:val="clear" w:color="auto" w:fill="auto"/>
            <w:vAlign w:val="center"/>
            <w:hideMark/>
          </w:tcPr>
          <w:p w14:paraId="51347895" w14:textId="77777777" w:rsidR="001318F1" w:rsidRPr="000E5EF2" w:rsidRDefault="001318F1" w:rsidP="001318F1">
            <w:pPr>
              <w:spacing w:line="240" w:lineRule="auto"/>
              <w:jc w:val="left"/>
              <w:rPr>
                <w:rFonts w:ascii="Calibri" w:hAnsi="Calibri"/>
                <w:sz w:val="22"/>
                <w:szCs w:val="22"/>
              </w:rPr>
            </w:pPr>
            <w:r w:rsidRPr="000E5EF2">
              <w:rPr>
                <w:rFonts w:ascii="Calibri" w:hAnsi="Calibri"/>
                <w:sz w:val="22"/>
                <w:szCs w:val="22"/>
              </w:rPr>
              <w:t>b)</w:t>
            </w:r>
          </w:p>
        </w:tc>
        <w:tc>
          <w:tcPr>
            <w:tcW w:w="3686" w:type="dxa"/>
            <w:tcBorders>
              <w:top w:val="nil"/>
              <w:left w:val="nil"/>
              <w:bottom w:val="single" w:sz="8" w:space="0" w:color="auto"/>
              <w:right w:val="single" w:sz="8" w:space="0" w:color="auto"/>
            </w:tcBorders>
            <w:shd w:val="clear" w:color="auto" w:fill="auto"/>
            <w:vAlign w:val="center"/>
            <w:hideMark/>
          </w:tcPr>
          <w:p w14:paraId="51347896" w14:textId="77777777" w:rsidR="001318F1" w:rsidRPr="000E5EF2" w:rsidRDefault="001318F1" w:rsidP="001318F1">
            <w:pPr>
              <w:spacing w:line="240" w:lineRule="auto"/>
              <w:jc w:val="left"/>
              <w:rPr>
                <w:rFonts w:ascii="Calibri" w:hAnsi="Calibri"/>
                <w:sz w:val="22"/>
                <w:szCs w:val="22"/>
              </w:rPr>
            </w:pPr>
            <w:r w:rsidRPr="000E5EF2">
              <w:rPr>
                <w:rFonts w:ascii="Calibri" w:hAnsi="Calibri"/>
                <w:sz w:val="22"/>
                <w:szCs w:val="22"/>
              </w:rPr>
              <w:t>Kulturní aktivity</w:t>
            </w:r>
          </w:p>
        </w:tc>
        <w:tc>
          <w:tcPr>
            <w:tcW w:w="1701" w:type="dxa"/>
            <w:tcBorders>
              <w:top w:val="nil"/>
              <w:left w:val="nil"/>
              <w:bottom w:val="single" w:sz="8" w:space="0" w:color="auto"/>
              <w:right w:val="single" w:sz="8" w:space="0" w:color="auto"/>
            </w:tcBorders>
            <w:shd w:val="clear" w:color="auto" w:fill="auto"/>
            <w:vAlign w:val="center"/>
            <w:hideMark/>
          </w:tcPr>
          <w:p w14:paraId="51347897" w14:textId="77777777" w:rsidR="001318F1" w:rsidRPr="000E5EF2" w:rsidRDefault="001318F1" w:rsidP="001318F1">
            <w:pPr>
              <w:spacing w:line="240" w:lineRule="auto"/>
              <w:jc w:val="right"/>
              <w:rPr>
                <w:rFonts w:ascii="Calibri" w:hAnsi="Calibri"/>
                <w:sz w:val="22"/>
                <w:szCs w:val="22"/>
              </w:rPr>
            </w:pPr>
            <w:r w:rsidRPr="000E5EF2">
              <w:rPr>
                <w:rFonts w:ascii="Calibri" w:hAnsi="Calibri"/>
                <w:sz w:val="22"/>
                <w:szCs w:val="22"/>
              </w:rPr>
              <w:t>486 790 110</w:t>
            </w:r>
          </w:p>
        </w:tc>
        <w:tc>
          <w:tcPr>
            <w:tcW w:w="1559" w:type="dxa"/>
            <w:tcBorders>
              <w:top w:val="nil"/>
              <w:left w:val="nil"/>
              <w:bottom w:val="single" w:sz="8" w:space="0" w:color="auto"/>
              <w:right w:val="single" w:sz="8" w:space="0" w:color="auto"/>
            </w:tcBorders>
            <w:shd w:val="clear" w:color="auto" w:fill="auto"/>
            <w:vAlign w:val="center"/>
            <w:hideMark/>
          </w:tcPr>
          <w:p w14:paraId="51347898" w14:textId="77777777" w:rsidR="001318F1" w:rsidRPr="000E5EF2" w:rsidRDefault="001318F1" w:rsidP="001318F1">
            <w:pPr>
              <w:spacing w:line="240" w:lineRule="auto"/>
              <w:jc w:val="right"/>
              <w:rPr>
                <w:rFonts w:ascii="Calibri" w:hAnsi="Calibri"/>
                <w:sz w:val="22"/>
                <w:szCs w:val="22"/>
              </w:rPr>
            </w:pPr>
            <w:r w:rsidRPr="000E5EF2">
              <w:rPr>
                <w:rFonts w:ascii="Calibri" w:hAnsi="Calibri"/>
                <w:sz w:val="22"/>
                <w:szCs w:val="22"/>
              </w:rPr>
              <w:t>536 716 783</w:t>
            </w:r>
          </w:p>
        </w:tc>
        <w:tc>
          <w:tcPr>
            <w:tcW w:w="1701" w:type="dxa"/>
            <w:tcBorders>
              <w:top w:val="nil"/>
              <w:left w:val="nil"/>
              <w:bottom w:val="single" w:sz="8" w:space="0" w:color="auto"/>
              <w:right w:val="single" w:sz="12" w:space="0" w:color="auto"/>
            </w:tcBorders>
            <w:shd w:val="clear" w:color="auto" w:fill="auto"/>
            <w:vAlign w:val="center"/>
            <w:hideMark/>
          </w:tcPr>
          <w:p w14:paraId="51347899" w14:textId="77777777" w:rsidR="001318F1" w:rsidRPr="000E5EF2" w:rsidRDefault="001318F1" w:rsidP="001318F1">
            <w:pPr>
              <w:spacing w:line="240" w:lineRule="auto"/>
              <w:jc w:val="right"/>
              <w:rPr>
                <w:rFonts w:ascii="Calibri" w:hAnsi="Calibri"/>
                <w:sz w:val="22"/>
                <w:szCs w:val="22"/>
              </w:rPr>
            </w:pPr>
            <w:r w:rsidRPr="000E5EF2">
              <w:rPr>
                <w:rFonts w:ascii="Calibri" w:hAnsi="Calibri"/>
                <w:sz w:val="22"/>
                <w:szCs w:val="22"/>
              </w:rPr>
              <w:t>49 926 673</w:t>
            </w:r>
          </w:p>
        </w:tc>
      </w:tr>
      <w:tr w:rsidR="001318F1" w:rsidRPr="000E5EF2" w14:paraId="513478A0" w14:textId="77777777" w:rsidTr="001318F1">
        <w:trPr>
          <w:trHeight w:val="300"/>
        </w:trPr>
        <w:tc>
          <w:tcPr>
            <w:tcW w:w="440" w:type="dxa"/>
            <w:tcBorders>
              <w:top w:val="nil"/>
              <w:left w:val="single" w:sz="12" w:space="0" w:color="auto"/>
              <w:bottom w:val="single" w:sz="12" w:space="0" w:color="auto"/>
              <w:right w:val="single" w:sz="8" w:space="0" w:color="auto"/>
            </w:tcBorders>
            <w:shd w:val="clear" w:color="auto" w:fill="auto"/>
            <w:noWrap/>
            <w:vAlign w:val="bottom"/>
            <w:hideMark/>
          </w:tcPr>
          <w:p w14:paraId="5134789B" w14:textId="77777777" w:rsidR="001318F1" w:rsidRPr="000E5EF2" w:rsidRDefault="001318F1" w:rsidP="001318F1">
            <w:pPr>
              <w:spacing w:line="240" w:lineRule="auto"/>
              <w:jc w:val="left"/>
              <w:rPr>
                <w:rFonts w:ascii="Calibri" w:hAnsi="Calibri"/>
                <w:sz w:val="22"/>
                <w:szCs w:val="22"/>
              </w:rPr>
            </w:pPr>
            <w:r w:rsidRPr="000E5EF2">
              <w:rPr>
                <w:rFonts w:ascii="Calibri" w:hAnsi="Calibri"/>
                <w:sz w:val="22"/>
                <w:szCs w:val="22"/>
              </w:rPr>
              <w:t xml:space="preserve">c) </w:t>
            </w:r>
          </w:p>
        </w:tc>
        <w:tc>
          <w:tcPr>
            <w:tcW w:w="3686" w:type="dxa"/>
            <w:tcBorders>
              <w:top w:val="nil"/>
              <w:left w:val="nil"/>
              <w:bottom w:val="single" w:sz="12" w:space="0" w:color="auto"/>
              <w:right w:val="single" w:sz="8" w:space="0" w:color="auto"/>
            </w:tcBorders>
            <w:shd w:val="clear" w:color="auto" w:fill="auto"/>
            <w:noWrap/>
            <w:vAlign w:val="bottom"/>
            <w:hideMark/>
          </w:tcPr>
          <w:p w14:paraId="5134789C" w14:textId="77777777" w:rsidR="001318F1" w:rsidRPr="000E5EF2" w:rsidRDefault="001318F1" w:rsidP="001318F1">
            <w:pPr>
              <w:spacing w:line="240" w:lineRule="auto"/>
              <w:jc w:val="left"/>
              <w:rPr>
                <w:rFonts w:ascii="Calibri" w:hAnsi="Calibri"/>
                <w:sz w:val="22"/>
                <w:szCs w:val="22"/>
              </w:rPr>
            </w:pPr>
            <w:r w:rsidRPr="000E5EF2">
              <w:rPr>
                <w:rFonts w:ascii="Calibri" w:hAnsi="Calibri"/>
                <w:sz w:val="22"/>
                <w:szCs w:val="22"/>
              </w:rPr>
              <w:t>Veřejné informační služby knihoven</w:t>
            </w:r>
          </w:p>
        </w:tc>
        <w:tc>
          <w:tcPr>
            <w:tcW w:w="1701" w:type="dxa"/>
            <w:tcBorders>
              <w:top w:val="nil"/>
              <w:left w:val="nil"/>
              <w:bottom w:val="single" w:sz="12" w:space="0" w:color="auto"/>
              <w:right w:val="single" w:sz="8" w:space="0" w:color="auto"/>
            </w:tcBorders>
            <w:shd w:val="clear" w:color="auto" w:fill="auto"/>
            <w:noWrap/>
            <w:vAlign w:val="bottom"/>
            <w:hideMark/>
          </w:tcPr>
          <w:p w14:paraId="5134789D" w14:textId="77777777" w:rsidR="001318F1" w:rsidRPr="000E5EF2" w:rsidRDefault="001318F1" w:rsidP="001318F1">
            <w:pPr>
              <w:spacing w:line="240" w:lineRule="auto"/>
              <w:jc w:val="right"/>
              <w:rPr>
                <w:rFonts w:ascii="Calibri" w:hAnsi="Calibri"/>
                <w:sz w:val="22"/>
                <w:szCs w:val="22"/>
              </w:rPr>
            </w:pPr>
            <w:r w:rsidRPr="000E5EF2">
              <w:rPr>
                <w:rFonts w:ascii="Calibri" w:hAnsi="Calibri"/>
                <w:sz w:val="22"/>
                <w:szCs w:val="22"/>
              </w:rPr>
              <w:t>42 530 000</w:t>
            </w:r>
          </w:p>
        </w:tc>
        <w:tc>
          <w:tcPr>
            <w:tcW w:w="1559" w:type="dxa"/>
            <w:tcBorders>
              <w:top w:val="nil"/>
              <w:left w:val="nil"/>
              <w:bottom w:val="single" w:sz="12" w:space="0" w:color="auto"/>
              <w:right w:val="single" w:sz="8" w:space="0" w:color="auto"/>
            </w:tcBorders>
            <w:shd w:val="clear" w:color="auto" w:fill="auto"/>
            <w:noWrap/>
            <w:vAlign w:val="bottom"/>
            <w:hideMark/>
          </w:tcPr>
          <w:p w14:paraId="5134789E" w14:textId="77777777" w:rsidR="001318F1" w:rsidRPr="000E5EF2" w:rsidRDefault="001318F1" w:rsidP="001318F1">
            <w:pPr>
              <w:spacing w:line="240" w:lineRule="auto"/>
              <w:jc w:val="right"/>
              <w:rPr>
                <w:rFonts w:ascii="Calibri" w:hAnsi="Calibri"/>
                <w:sz w:val="22"/>
                <w:szCs w:val="22"/>
              </w:rPr>
            </w:pPr>
            <w:r w:rsidRPr="000E5EF2">
              <w:rPr>
                <w:rFonts w:ascii="Calibri" w:hAnsi="Calibri"/>
                <w:sz w:val="22"/>
                <w:szCs w:val="22"/>
              </w:rPr>
              <w:t>60 000 000</w:t>
            </w:r>
          </w:p>
        </w:tc>
        <w:tc>
          <w:tcPr>
            <w:tcW w:w="1701" w:type="dxa"/>
            <w:tcBorders>
              <w:top w:val="nil"/>
              <w:left w:val="nil"/>
              <w:bottom w:val="single" w:sz="12" w:space="0" w:color="auto"/>
              <w:right w:val="single" w:sz="12" w:space="0" w:color="auto"/>
            </w:tcBorders>
            <w:shd w:val="clear" w:color="auto" w:fill="auto"/>
            <w:noWrap/>
            <w:vAlign w:val="bottom"/>
            <w:hideMark/>
          </w:tcPr>
          <w:p w14:paraId="5134789F" w14:textId="77777777" w:rsidR="001318F1" w:rsidRPr="000E5EF2" w:rsidRDefault="001318F1" w:rsidP="001318F1">
            <w:pPr>
              <w:spacing w:line="240" w:lineRule="auto"/>
              <w:jc w:val="right"/>
              <w:rPr>
                <w:rFonts w:ascii="Calibri" w:hAnsi="Calibri"/>
                <w:sz w:val="22"/>
                <w:szCs w:val="22"/>
              </w:rPr>
            </w:pPr>
            <w:r w:rsidRPr="000E5EF2">
              <w:rPr>
                <w:rFonts w:ascii="Calibri" w:hAnsi="Calibri"/>
                <w:sz w:val="22"/>
                <w:szCs w:val="22"/>
              </w:rPr>
              <w:t>17 470 000</w:t>
            </w:r>
          </w:p>
        </w:tc>
      </w:tr>
    </w:tbl>
    <w:p w14:paraId="513478A1" w14:textId="77777777" w:rsidR="00F027B5" w:rsidRPr="000E5EF2" w:rsidRDefault="00F027B5" w:rsidP="000F6720">
      <w:pPr>
        <w:spacing w:before="120" w:line="240" w:lineRule="auto"/>
        <w:ind w:left="709" w:hanging="709"/>
        <w:jc w:val="left"/>
        <w:rPr>
          <w:rFonts w:ascii="Times New Roman" w:hAnsi="Times New Roman"/>
          <w:b/>
        </w:rPr>
      </w:pPr>
    </w:p>
    <w:p w14:paraId="513478A2" w14:textId="77777777" w:rsidR="00605D31" w:rsidRPr="000E5EF2" w:rsidRDefault="00605D31" w:rsidP="000F6720">
      <w:pPr>
        <w:spacing w:before="120" w:line="240" w:lineRule="auto"/>
        <w:ind w:left="709" w:hanging="709"/>
        <w:jc w:val="left"/>
        <w:rPr>
          <w:rFonts w:ascii="Times New Roman" w:hAnsi="Times New Roman"/>
          <w:b/>
        </w:rPr>
      </w:pPr>
      <w:r w:rsidRPr="00F86015">
        <w:rPr>
          <w:rFonts w:ascii="Times New Roman" w:hAnsi="Times New Roman"/>
          <w:b/>
        </w:rPr>
        <w:t>a)</w:t>
      </w:r>
      <w:r w:rsidRPr="00F86015">
        <w:rPr>
          <w:rFonts w:ascii="Times New Roman" w:hAnsi="Times New Roman"/>
          <w:b/>
        </w:rPr>
        <w:tab/>
        <w:t>program státní podpory profesionálních divadel a stálých</w:t>
      </w:r>
      <w:r w:rsidRPr="00F86015">
        <w:rPr>
          <w:rFonts w:ascii="Times New Roman" w:hAnsi="Times New Roman"/>
          <w:b/>
        </w:rPr>
        <w:br/>
      </w:r>
      <w:r w:rsidRPr="000E5EF2">
        <w:rPr>
          <w:rFonts w:ascii="Times New Roman" w:hAnsi="Times New Roman"/>
          <w:b/>
        </w:rPr>
        <w:t>profesionálních symfonických orchestrů a pěveckých sborů</w:t>
      </w:r>
      <w:r w:rsidRPr="000E5EF2">
        <w:rPr>
          <w:rFonts w:ascii="Times New Roman" w:hAnsi="Times New Roman"/>
          <w:b/>
        </w:rPr>
        <w:tab/>
        <w:t>        </w:t>
      </w:r>
      <w:r w:rsidR="001318F1" w:rsidRPr="000E5EF2">
        <w:rPr>
          <w:rFonts w:ascii="Times New Roman" w:hAnsi="Times New Roman"/>
          <w:b/>
        </w:rPr>
        <w:t>91</w:t>
      </w:r>
      <w:r w:rsidR="00386A2C" w:rsidRPr="000E5EF2">
        <w:rPr>
          <w:rFonts w:ascii="Times New Roman" w:hAnsi="Times New Roman"/>
          <w:b/>
        </w:rPr>
        <w:t> </w:t>
      </w:r>
      <w:r w:rsidR="008C6E06" w:rsidRPr="000E5EF2">
        <w:rPr>
          <w:rFonts w:ascii="Times New Roman" w:hAnsi="Times New Roman"/>
          <w:b/>
        </w:rPr>
        <w:t>7</w:t>
      </w:r>
      <w:r w:rsidR="001318F1" w:rsidRPr="000E5EF2">
        <w:rPr>
          <w:rFonts w:ascii="Times New Roman" w:hAnsi="Times New Roman"/>
          <w:b/>
        </w:rPr>
        <w:t>26</w:t>
      </w:r>
      <w:r w:rsidRPr="000E5EF2">
        <w:rPr>
          <w:rFonts w:ascii="Times New Roman" w:hAnsi="Times New Roman"/>
          <w:b/>
        </w:rPr>
        <w:t> 000 Kč</w:t>
      </w:r>
    </w:p>
    <w:p w14:paraId="513478A3" w14:textId="77777777" w:rsidR="00605D31" w:rsidRPr="000E5EF2" w:rsidRDefault="00605D31" w:rsidP="000F6720">
      <w:pPr>
        <w:pStyle w:val="Zhlav"/>
        <w:spacing w:before="120"/>
        <w:rPr>
          <w:rFonts w:ascii="Times New Roman" w:hAnsi="Times New Roman"/>
        </w:rPr>
      </w:pPr>
      <w:r w:rsidRPr="000E5EF2">
        <w:rPr>
          <w:rFonts w:ascii="Times New Roman" w:hAnsi="Times New Roman"/>
        </w:rPr>
        <w:t xml:space="preserve">Program státní podpory profesionálních divadel, symfonických orchestrů a pěveckých sborů – realizace programu na základě usnesení vlády č. 902 ze dne 10. září 2003. Program </w:t>
      </w:r>
      <w:r w:rsidR="0063168E" w:rsidRPr="000E5EF2">
        <w:rPr>
          <w:rFonts w:ascii="Times New Roman" w:hAnsi="Times New Roman"/>
        </w:rPr>
        <w:br/>
      </w:r>
      <w:r w:rsidRPr="000E5EF2">
        <w:rPr>
          <w:rFonts w:ascii="Times New Roman" w:hAnsi="Times New Roman"/>
        </w:rPr>
        <w:t xml:space="preserve">je systémovým řešením státního podílu na rozvoji profesionálních divadel, profesionálních symfonických orchestrů a pěveckých sborů v České republice na principu sdružování finančních prostředků obcí, krajů a státu. </w:t>
      </w:r>
      <w:r w:rsidRPr="000E5EF2">
        <w:rPr>
          <w:rFonts w:ascii="Times New Roman" w:hAnsi="Times New Roman"/>
          <w:bCs/>
        </w:rPr>
        <w:t xml:space="preserve">Cílem Programu je podporovat profesionální divadelní a koncertní tvorbu, která má celostátní význam, podporovat novou tvorbu, mladé umělce, programy pro děti a mládež, dále posilovat prestiž české kultury v zahraničí </w:t>
      </w:r>
      <w:r w:rsidR="00372BD3" w:rsidRPr="000E5EF2">
        <w:rPr>
          <w:rFonts w:ascii="Times New Roman" w:hAnsi="Times New Roman"/>
          <w:highlight w:val="yellow"/>
        </w:rPr>
        <w:br/>
      </w:r>
      <w:r w:rsidRPr="000E5EF2">
        <w:rPr>
          <w:rFonts w:ascii="Times New Roman" w:hAnsi="Times New Roman"/>
          <w:bCs/>
        </w:rPr>
        <w:t>a umožnit rovný přístup občanů ke kulturnímu</w:t>
      </w:r>
      <w:r w:rsidRPr="000E5EF2">
        <w:rPr>
          <w:rFonts w:ascii="Times New Roman" w:hAnsi="Times New Roman"/>
          <w:b/>
        </w:rPr>
        <w:t xml:space="preserve"> </w:t>
      </w:r>
      <w:r w:rsidRPr="000E5EF2">
        <w:rPr>
          <w:rFonts w:ascii="Times New Roman" w:hAnsi="Times New Roman"/>
          <w:bCs/>
        </w:rPr>
        <w:t>bohatství.</w:t>
      </w:r>
    </w:p>
    <w:p w14:paraId="513478A4" w14:textId="77777777" w:rsidR="00793215" w:rsidRPr="000E5EF2" w:rsidRDefault="00605D31" w:rsidP="000F6720">
      <w:pPr>
        <w:pStyle w:val="Zhlav"/>
        <w:spacing w:before="120"/>
        <w:rPr>
          <w:rFonts w:ascii="Times New Roman" w:hAnsi="Times New Roman"/>
        </w:rPr>
      </w:pPr>
      <w:r w:rsidRPr="000E5EF2">
        <w:rPr>
          <w:rFonts w:ascii="Times New Roman" w:hAnsi="Times New Roman"/>
        </w:rPr>
        <w:t xml:space="preserve">Program vznikl v souvislosti s ukončenou reformou územní samosprávy a vychází z Programu podpory českých divadel a Programu podpory stálých profesionálních orchestrů </w:t>
      </w:r>
      <w:r w:rsidR="000A0047" w:rsidRPr="000E5EF2">
        <w:rPr>
          <w:rFonts w:ascii="Times New Roman" w:hAnsi="Times New Roman"/>
          <w:highlight w:val="yellow"/>
        </w:rPr>
        <w:br/>
      </w:r>
      <w:r w:rsidRPr="000E5EF2">
        <w:rPr>
          <w:rFonts w:ascii="Times New Roman" w:hAnsi="Times New Roman"/>
        </w:rPr>
        <w:t>a pěveckých sborů, které vznikly v druhé polovině 90. let po odstátnění většiny těles, a měly kompenzovat náklady zřizovatelů, zpravidla obcí, na provoz divadel či orchestrů při</w:t>
      </w:r>
      <w:r w:rsidR="00412836" w:rsidRPr="000E5EF2">
        <w:rPr>
          <w:rFonts w:ascii="Times New Roman" w:hAnsi="Times New Roman"/>
        </w:rPr>
        <w:t> </w:t>
      </w:r>
      <w:r w:rsidRPr="000E5EF2">
        <w:rPr>
          <w:rFonts w:ascii="Times New Roman" w:hAnsi="Times New Roman"/>
        </w:rPr>
        <w:t>poskytování služeb regionálního či nadregionálního rozsahu.</w:t>
      </w:r>
      <w:r w:rsidR="00793215" w:rsidRPr="000E5EF2">
        <w:rPr>
          <w:rFonts w:ascii="Times New Roman" w:hAnsi="Times New Roman"/>
        </w:rPr>
        <w:t xml:space="preserve"> </w:t>
      </w:r>
      <w:r w:rsidR="0074356E">
        <w:rPr>
          <w:rFonts w:ascii="Times New Roman" w:hAnsi="Times New Roman"/>
        </w:rPr>
        <w:t>R</w:t>
      </w:r>
      <w:r w:rsidR="00793215" w:rsidRPr="000E5EF2">
        <w:rPr>
          <w:rFonts w:ascii="Times New Roman" w:hAnsi="Times New Roman"/>
        </w:rPr>
        <w:t>ozpoč</w:t>
      </w:r>
      <w:r w:rsidR="0074356E">
        <w:rPr>
          <w:rFonts w:ascii="Times New Roman" w:hAnsi="Times New Roman"/>
        </w:rPr>
        <w:t>e</w:t>
      </w:r>
      <w:r w:rsidR="00793215" w:rsidRPr="000E5EF2">
        <w:rPr>
          <w:rFonts w:ascii="Times New Roman" w:hAnsi="Times New Roman"/>
        </w:rPr>
        <w:t>t na rok 2016 je</w:t>
      </w:r>
      <w:r w:rsidR="008178EB" w:rsidRPr="000E5EF2">
        <w:rPr>
          <w:rFonts w:ascii="Times New Roman" w:hAnsi="Times New Roman"/>
        </w:rPr>
        <w:t xml:space="preserve"> </w:t>
      </w:r>
      <w:r w:rsidR="00793215" w:rsidRPr="000E5EF2">
        <w:rPr>
          <w:rFonts w:ascii="Times New Roman" w:hAnsi="Times New Roman"/>
        </w:rPr>
        <w:t>o</w:t>
      </w:r>
      <w:r w:rsidR="0074356E">
        <w:rPr>
          <w:rFonts w:ascii="Times New Roman" w:hAnsi="Times New Roman"/>
        </w:rPr>
        <w:t> </w:t>
      </w:r>
      <w:r w:rsidR="00793215" w:rsidRPr="000E5EF2">
        <w:rPr>
          <w:rFonts w:ascii="Times New Roman" w:hAnsi="Times New Roman"/>
        </w:rPr>
        <w:t>1</w:t>
      </w:r>
      <w:r w:rsidR="001318F1" w:rsidRPr="000E5EF2">
        <w:rPr>
          <w:rFonts w:ascii="Times New Roman" w:hAnsi="Times New Roman"/>
        </w:rPr>
        <w:t>6</w:t>
      </w:r>
      <w:r w:rsidR="0074356E">
        <w:rPr>
          <w:rFonts w:ascii="Times New Roman" w:hAnsi="Times New Roman"/>
        </w:rPr>
        <w:t> </w:t>
      </w:r>
      <w:r w:rsidR="001318F1" w:rsidRPr="000E5EF2">
        <w:rPr>
          <w:rFonts w:ascii="Times New Roman" w:hAnsi="Times New Roman"/>
        </w:rPr>
        <w:t>726</w:t>
      </w:r>
      <w:r w:rsidR="00793215" w:rsidRPr="000E5EF2">
        <w:rPr>
          <w:rFonts w:ascii="Times New Roman" w:hAnsi="Times New Roman"/>
        </w:rPr>
        <w:t xml:space="preserve"> tis. Kč </w:t>
      </w:r>
      <w:r w:rsidR="001318F1" w:rsidRPr="000E5EF2">
        <w:rPr>
          <w:rFonts w:ascii="Times New Roman" w:hAnsi="Times New Roman"/>
        </w:rPr>
        <w:t>vyšší</w:t>
      </w:r>
      <w:r w:rsidR="00793215" w:rsidRPr="000E5EF2">
        <w:rPr>
          <w:rFonts w:ascii="Times New Roman" w:hAnsi="Times New Roman"/>
        </w:rPr>
        <w:t xml:space="preserve"> než schválený rozpočet 2015.</w:t>
      </w:r>
    </w:p>
    <w:p w14:paraId="513478A5" w14:textId="77777777" w:rsidR="00605D31" w:rsidRPr="006265C8" w:rsidRDefault="00605D31" w:rsidP="000F6720">
      <w:pPr>
        <w:spacing w:before="120" w:line="240" w:lineRule="auto"/>
        <w:rPr>
          <w:rFonts w:ascii="Times New Roman" w:hAnsi="Times New Roman"/>
        </w:rPr>
      </w:pPr>
      <w:r w:rsidRPr="000E5EF2">
        <w:rPr>
          <w:rFonts w:ascii="Times New Roman" w:hAnsi="Times New Roman"/>
        </w:rPr>
        <w:t>Potřeby programu jsou dlouhodobě podfinancovány.</w:t>
      </w:r>
      <w:r w:rsidR="00111719" w:rsidRPr="000E5EF2">
        <w:rPr>
          <w:rFonts w:ascii="Times New Roman" w:hAnsi="Times New Roman"/>
        </w:rPr>
        <w:t xml:space="preserve"> Na nedostatek prostředků pravidelně upozorňuje odborná veřejnost i členové programové rady.</w:t>
      </w:r>
      <w:r w:rsidRPr="000E5EF2">
        <w:rPr>
          <w:rFonts w:ascii="Times New Roman" w:hAnsi="Times New Roman"/>
        </w:rPr>
        <w:t xml:space="preserve"> </w:t>
      </w:r>
      <w:r w:rsidR="00793215" w:rsidRPr="000E5EF2">
        <w:rPr>
          <w:rFonts w:ascii="Times New Roman" w:hAnsi="Times New Roman"/>
        </w:rPr>
        <w:t>V</w:t>
      </w:r>
      <w:r w:rsidRPr="000E5EF2">
        <w:rPr>
          <w:rFonts w:ascii="Times New Roman" w:hAnsi="Times New Roman"/>
        </w:rPr>
        <w:t xml:space="preserve"> souladu s Koncepcí účinnější podpory umění na léta 2007-2013 (dosud nikdy nenaplněný předpoklad navyšování rozpočtu programu až do výše 150 000 tis. Kč), </w:t>
      </w:r>
      <w:r w:rsidRPr="006265C8">
        <w:rPr>
          <w:rFonts w:ascii="Times New Roman" w:hAnsi="Times New Roman"/>
        </w:rPr>
        <w:t xml:space="preserve">na kterou navazuje </w:t>
      </w:r>
      <w:r w:rsidR="00AC19BF" w:rsidRPr="006265C8">
        <w:rPr>
          <w:rFonts w:ascii="Times New Roman" w:hAnsi="Times New Roman"/>
        </w:rPr>
        <w:t>připravovaná Koncepce</w:t>
      </w:r>
      <w:r w:rsidR="006265C8" w:rsidRPr="006265C8">
        <w:rPr>
          <w:rFonts w:ascii="Times New Roman" w:hAnsi="Times New Roman"/>
        </w:rPr>
        <w:t xml:space="preserve"> podpory umění na léta </w:t>
      </w:r>
      <w:r w:rsidRPr="006265C8">
        <w:rPr>
          <w:rFonts w:ascii="Times New Roman" w:hAnsi="Times New Roman"/>
        </w:rPr>
        <w:t>2015</w:t>
      </w:r>
      <w:r w:rsidR="006265C8" w:rsidRPr="006265C8">
        <w:rPr>
          <w:rFonts w:ascii="Times New Roman" w:hAnsi="Times New Roman"/>
        </w:rPr>
        <w:t>-</w:t>
      </w:r>
      <w:r w:rsidRPr="006265C8">
        <w:rPr>
          <w:rFonts w:ascii="Times New Roman" w:hAnsi="Times New Roman"/>
        </w:rPr>
        <w:t>2020</w:t>
      </w:r>
      <w:r w:rsidR="006265C8" w:rsidRPr="006265C8">
        <w:rPr>
          <w:rFonts w:ascii="Times New Roman" w:hAnsi="Times New Roman"/>
        </w:rPr>
        <w:t>, mělo dojít k</w:t>
      </w:r>
      <w:r w:rsidR="00793215" w:rsidRPr="006265C8">
        <w:rPr>
          <w:rFonts w:ascii="Times New Roman" w:hAnsi="Times New Roman"/>
        </w:rPr>
        <w:t> postupnému navyšování rozpočtu programu.</w:t>
      </w:r>
      <w:r w:rsidRPr="006265C8">
        <w:rPr>
          <w:rFonts w:ascii="Times New Roman" w:hAnsi="Times New Roman"/>
        </w:rPr>
        <w:t xml:space="preserve"> </w:t>
      </w:r>
    </w:p>
    <w:p w14:paraId="513478A6" w14:textId="77777777" w:rsidR="000E5EF2" w:rsidRPr="006265C8" w:rsidRDefault="000E5EF2" w:rsidP="000F6720">
      <w:pPr>
        <w:spacing w:before="120" w:line="240" w:lineRule="auto"/>
        <w:rPr>
          <w:rFonts w:ascii="Times New Roman" w:hAnsi="Times New Roman"/>
          <w:b/>
        </w:rPr>
      </w:pPr>
    </w:p>
    <w:p w14:paraId="513478A7" w14:textId="77777777" w:rsidR="007901B8" w:rsidRPr="000E5EF2" w:rsidRDefault="007901B8" w:rsidP="00E82302">
      <w:pPr>
        <w:spacing w:before="120" w:line="240" w:lineRule="auto"/>
        <w:rPr>
          <w:rFonts w:ascii="Times New Roman" w:hAnsi="Times New Roman"/>
          <w:b/>
        </w:rPr>
      </w:pPr>
      <w:r w:rsidRPr="000E5EF2">
        <w:rPr>
          <w:rFonts w:ascii="Times New Roman" w:hAnsi="Times New Roman"/>
          <w:b/>
        </w:rPr>
        <w:t>b)</w:t>
      </w:r>
      <w:r w:rsidRPr="000E5EF2">
        <w:rPr>
          <w:rFonts w:ascii="Times New Roman" w:hAnsi="Times New Roman"/>
          <w:b/>
        </w:rPr>
        <w:tab/>
        <w:t>kulturní aktivity</w:t>
      </w:r>
      <w:r w:rsidRPr="000E5EF2">
        <w:rPr>
          <w:rFonts w:ascii="Times New Roman" w:hAnsi="Times New Roman"/>
          <w:b/>
        </w:rPr>
        <w:tab/>
      </w:r>
      <w:r w:rsidRPr="000E5EF2">
        <w:rPr>
          <w:rFonts w:ascii="Times New Roman" w:hAnsi="Times New Roman"/>
          <w:b/>
        </w:rPr>
        <w:tab/>
      </w:r>
      <w:r w:rsidRPr="000E5EF2">
        <w:rPr>
          <w:rFonts w:ascii="Times New Roman" w:hAnsi="Times New Roman"/>
          <w:b/>
        </w:rPr>
        <w:tab/>
      </w:r>
      <w:r w:rsidRPr="000E5EF2">
        <w:rPr>
          <w:rFonts w:ascii="Times New Roman" w:hAnsi="Times New Roman"/>
          <w:b/>
        </w:rPr>
        <w:tab/>
      </w:r>
      <w:r w:rsidRPr="000E5EF2">
        <w:rPr>
          <w:rFonts w:ascii="Times New Roman" w:hAnsi="Times New Roman"/>
          <w:b/>
        </w:rPr>
        <w:tab/>
      </w:r>
      <w:r w:rsidRPr="000E5EF2">
        <w:rPr>
          <w:rFonts w:ascii="Times New Roman" w:hAnsi="Times New Roman"/>
          <w:b/>
        </w:rPr>
        <w:tab/>
      </w:r>
      <w:r w:rsidRPr="000E5EF2">
        <w:rPr>
          <w:rFonts w:ascii="Times New Roman" w:hAnsi="Times New Roman"/>
          <w:b/>
        </w:rPr>
        <w:tab/>
      </w:r>
      <w:r w:rsidR="00386A2C" w:rsidRPr="000E5EF2">
        <w:rPr>
          <w:rFonts w:ascii="Times New Roman" w:hAnsi="Times New Roman"/>
          <w:b/>
        </w:rPr>
        <w:t>  </w:t>
      </w:r>
      <w:r w:rsidRPr="000E5EF2">
        <w:rPr>
          <w:rFonts w:ascii="Times New Roman" w:hAnsi="Times New Roman"/>
          <w:b/>
        </w:rPr>
        <w:t>     </w:t>
      </w:r>
      <w:r w:rsidR="001318F1" w:rsidRPr="000E5EF2">
        <w:rPr>
          <w:rFonts w:ascii="Times New Roman" w:hAnsi="Times New Roman"/>
          <w:b/>
        </w:rPr>
        <w:t>536</w:t>
      </w:r>
      <w:r w:rsidR="00BE252A" w:rsidRPr="000E5EF2">
        <w:rPr>
          <w:rFonts w:ascii="Times New Roman" w:hAnsi="Times New Roman"/>
          <w:b/>
        </w:rPr>
        <w:t> </w:t>
      </w:r>
      <w:r w:rsidR="001318F1" w:rsidRPr="000E5EF2">
        <w:rPr>
          <w:rFonts w:ascii="Times New Roman" w:hAnsi="Times New Roman"/>
          <w:b/>
        </w:rPr>
        <w:t>716</w:t>
      </w:r>
      <w:r w:rsidR="00386A2C" w:rsidRPr="000E5EF2">
        <w:rPr>
          <w:rFonts w:ascii="Times New Roman" w:hAnsi="Times New Roman"/>
          <w:b/>
        </w:rPr>
        <w:t> </w:t>
      </w:r>
      <w:r w:rsidR="00BE252A" w:rsidRPr="000E5EF2">
        <w:rPr>
          <w:rFonts w:ascii="Times New Roman" w:hAnsi="Times New Roman"/>
          <w:b/>
        </w:rPr>
        <w:t>783</w:t>
      </w:r>
      <w:r w:rsidR="00386A2C" w:rsidRPr="000E5EF2">
        <w:rPr>
          <w:rFonts w:ascii="Times New Roman" w:hAnsi="Times New Roman"/>
          <w:b/>
        </w:rPr>
        <w:t> </w:t>
      </w:r>
      <w:r w:rsidRPr="000E5EF2">
        <w:rPr>
          <w:rFonts w:ascii="Times New Roman" w:hAnsi="Times New Roman"/>
          <w:b/>
        </w:rPr>
        <w:t>Kč</w:t>
      </w:r>
    </w:p>
    <w:p w14:paraId="513478A8" w14:textId="77777777" w:rsidR="007901B8" w:rsidRPr="000E5EF2" w:rsidRDefault="007901B8" w:rsidP="001968CD">
      <w:pPr>
        <w:pStyle w:val="Zhlav"/>
        <w:spacing w:before="120"/>
        <w:rPr>
          <w:rFonts w:ascii="Times New Roman" w:hAnsi="Times New Roman"/>
        </w:rPr>
      </w:pPr>
      <w:r w:rsidRPr="000E5EF2">
        <w:rPr>
          <w:rFonts w:ascii="Times New Roman" w:hAnsi="Times New Roman"/>
        </w:rPr>
        <w:t xml:space="preserve">Program se prolíná téměř do všech oblastí činností v kultuře. Program je významným nástrojem plnění </w:t>
      </w:r>
      <w:r w:rsidR="00730E36" w:rsidRPr="000E5EF2">
        <w:rPr>
          <w:rFonts w:ascii="Times New Roman" w:hAnsi="Times New Roman"/>
        </w:rPr>
        <w:t>S</w:t>
      </w:r>
      <w:r w:rsidRPr="000E5EF2">
        <w:rPr>
          <w:rFonts w:ascii="Times New Roman" w:hAnsi="Times New Roman"/>
        </w:rPr>
        <w:t xml:space="preserve">tátní kulturní politiky </w:t>
      </w:r>
      <w:r w:rsidR="00730E36" w:rsidRPr="000E5EF2">
        <w:rPr>
          <w:rFonts w:ascii="Times New Roman" w:hAnsi="Times New Roman"/>
        </w:rPr>
        <w:t>na léta 2015 – 2020 s výhledem do roku 2025.</w:t>
      </w:r>
      <w:r w:rsidR="00F027B5" w:rsidRPr="000E5EF2">
        <w:rPr>
          <w:rFonts w:ascii="Times New Roman" w:hAnsi="Times New Roman"/>
        </w:rPr>
        <w:t xml:space="preserve"> </w:t>
      </w:r>
      <w:r w:rsidR="00AF1321">
        <w:rPr>
          <w:rFonts w:ascii="Times New Roman" w:hAnsi="Times New Roman"/>
        </w:rPr>
        <w:t>R</w:t>
      </w:r>
      <w:r w:rsidRPr="000E5EF2">
        <w:rPr>
          <w:rFonts w:ascii="Times New Roman" w:hAnsi="Times New Roman"/>
        </w:rPr>
        <w:t>ozpoč</w:t>
      </w:r>
      <w:r w:rsidR="00AF1321">
        <w:rPr>
          <w:rFonts w:ascii="Times New Roman" w:hAnsi="Times New Roman"/>
        </w:rPr>
        <w:t>e</w:t>
      </w:r>
      <w:r w:rsidRPr="000E5EF2">
        <w:rPr>
          <w:rFonts w:ascii="Times New Roman" w:hAnsi="Times New Roman"/>
        </w:rPr>
        <w:t>t na rok 201</w:t>
      </w:r>
      <w:r w:rsidR="00AA780F" w:rsidRPr="000E5EF2">
        <w:rPr>
          <w:rFonts w:ascii="Times New Roman" w:hAnsi="Times New Roman"/>
        </w:rPr>
        <w:t>6</w:t>
      </w:r>
      <w:r w:rsidRPr="000E5EF2">
        <w:rPr>
          <w:rFonts w:ascii="Times New Roman" w:hAnsi="Times New Roman"/>
        </w:rPr>
        <w:t xml:space="preserve"> je o </w:t>
      </w:r>
      <w:r w:rsidR="001318F1" w:rsidRPr="000E5EF2">
        <w:rPr>
          <w:rFonts w:ascii="Times New Roman" w:hAnsi="Times New Roman"/>
        </w:rPr>
        <w:t>49 926</w:t>
      </w:r>
      <w:r w:rsidR="00360435" w:rsidRPr="000E5EF2">
        <w:rPr>
          <w:rFonts w:ascii="Times New Roman" w:hAnsi="Times New Roman"/>
        </w:rPr>
        <w:t>,67</w:t>
      </w:r>
      <w:r w:rsidRPr="000E5EF2">
        <w:rPr>
          <w:rFonts w:ascii="Times New Roman" w:hAnsi="Times New Roman"/>
        </w:rPr>
        <w:t xml:space="preserve"> tis. Kč </w:t>
      </w:r>
      <w:r w:rsidR="008178EB" w:rsidRPr="000E5EF2">
        <w:rPr>
          <w:rFonts w:ascii="Times New Roman" w:hAnsi="Times New Roman"/>
        </w:rPr>
        <w:t>vyšší</w:t>
      </w:r>
      <w:r w:rsidRPr="000E5EF2">
        <w:rPr>
          <w:rFonts w:ascii="Times New Roman" w:hAnsi="Times New Roman"/>
        </w:rPr>
        <w:t xml:space="preserve"> než schválený rozpočet 201</w:t>
      </w:r>
      <w:r w:rsidR="00AA780F" w:rsidRPr="000E5EF2">
        <w:rPr>
          <w:rFonts w:ascii="Times New Roman" w:hAnsi="Times New Roman"/>
        </w:rPr>
        <w:t>5</w:t>
      </w:r>
      <w:r w:rsidRPr="000E5EF2">
        <w:rPr>
          <w:rFonts w:ascii="Times New Roman" w:hAnsi="Times New Roman"/>
        </w:rPr>
        <w:t>.</w:t>
      </w:r>
    </w:p>
    <w:p w14:paraId="513478A9" w14:textId="77777777" w:rsidR="00F027B5" w:rsidRPr="000E5EF2" w:rsidRDefault="00F027B5" w:rsidP="00F027B5">
      <w:pPr>
        <w:spacing w:before="120" w:line="240" w:lineRule="auto"/>
        <w:rPr>
          <w:rFonts w:ascii="Times New Roman" w:hAnsi="Times New Roman"/>
        </w:rPr>
      </w:pPr>
      <w:r w:rsidRPr="000E5EF2">
        <w:rPr>
          <w:rFonts w:ascii="Times New Roman" w:hAnsi="Times New Roman"/>
          <w:u w:val="single"/>
        </w:rPr>
        <w:t>Kulturní aktivity</w:t>
      </w:r>
      <w:r w:rsidRPr="000E5EF2">
        <w:rPr>
          <w:rFonts w:ascii="Times New Roman" w:hAnsi="Times New Roman"/>
          <w:u w:val="single"/>
        </w:rPr>
        <w:tab/>
      </w:r>
      <w:r w:rsidRPr="000E5EF2">
        <w:rPr>
          <w:rFonts w:ascii="Times New Roman" w:hAnsi="Times New Roman"/>
          <w:u w:val="single"/>
        </w:rPr>
        <w:tab/>
      </w:r>
      <w:r w:rsidRPr="000E5EF2">
        <w:rPr>
          <w:rFonts w:ascii="Times New Roman" w:hAnsi="Times New Roman"/>
          <w:u w:val="single"/>
        </w:rPr>
        <w:tab/>
      </w:r>
      <w:r w:rsidRPr="000E5EF2">
        <w:rPr>
          <w:rFonts w:ascii="Times New Roman" w:hAnsi="Times New Roman"/>
          <w:u w:val="single"/>
        </w:rPr>
        <w:tab/>
      </w:r>
      <w:r w:rsidRPr="000E5EF2">
        <w:rPr>
          <w:rFonts w:ascii="Times New Roman" w:hAnsi="Times New Roman"/>
          <w:u w:val="single"/>
        </w:rPr>
        <w:tab/>
      </w:r>
      <w:r w:rsidRPr="000E5EF2">
        <w:rPr>
          <w:rFonts w:ascii="Times New Roman" w:hAnsi="Times New Roman"/>
          <w:u w:val="single"/>
        </w:rPr>
        <w:tab/>
      </w:r>
      <w:r w:rsidRPr="000E5EF2">
        <w:rPr>
          <w:rFonts w:ascii="Times New Roman" w:hAnsi="Times New Roman"/>
          <w:u w:val="single"/>
        </w:rPr>
        <w:tab/>
      </w:r>
      <w:r w:rsidRPr="000E5EF2">
        <w:rPr>
          <w:rFonts w:ascii="Times New Roman" w:hAnsi="Times New Roman"/>
          <w:u w:val="single"/>
        </w:rPr>
        <w:tab/>
        <w:t>       476 716 783 Kč</w:t>
      </w:r>
    </w:p>
    <w:p w14:paraId="513478AA" w14:textId="77777777" w:rsidR="006C1016" w:rsidRPr="000E5EF2" w:rsidRDefault="00F027B5" w:rsidP="000F6720">
      <w:pPr>
        <w:pStyle w:val="Zhlav"/>
        <w:spacing w:before="120"/>
        <w:rPr>
          <w:rFonts w:ascii="Times New Roman" w:hAnsi="Times New Roman"/>
        </w:rPr>
      </w:pPr>
      <w:r w:rsidRPr="000E5EF2">
        <w:rPr>
          <w:rFonts w:ascii="Times New Roman" w:hAnsi="Times New Roman"/>
        </w:rPr>
        <w:t>Cílem je podpora kulturních aktivit v oblasti profesionálního divadelního, tanečního, hudebního a výtvarného umění, včetně architektury, literatury, knižní kultury</w:t>
      </w:r>
      <w:r w:rsidRPr="000E5EF2">
        <w:rPr>
          <w:rFonts w:ascii="Times New Roman" w:hAnsi="Times New Roman"/>
          <w:highlight w:val="yellow"/>
        </w:rPr>
        <w:br/>
      </w:r>
      <w:r w:rsidRPr="000E5EF2">
        <w:rPr>
          <w:rFonts w:ascii="Times New Roman" w:hAnsi="Times New Roman"/>
        </w:rPr>
        <w:t xml:space="preserve">a knihoven, audiovize a masmédií, a to jak formou spolupořadatelství (velké festivaly, významné výstavy, semináře s mezinárodní účastí), vydávání neperiodických publikací, </w:t>
      </w:r>
      <w:r w:rsidRPr="000E5EF2">
        <w:rPr>
          <w:rFonts w:ascii="Times New Roman" w:hAnsi="Times New Roman"/>
        </w:rPr>
        <w:lastRenderedPageBreak/>
        <w:t>literárních a obecně kulturních periodik, překladů české literatury v zahraničí, projekt Česká knihovna</w:t>
      </w:r>
      <w:r w:rsidR="00AF1321">
        <w:rPr>
          <w:rFonts w:ascii="Times New Roman" w:hAnsi="Times New Roman"/>
        </w:rPr>
        <w:t xml:space="preserve"> -</w:t>
      </w:r>
      <w:r w:rsidRPr="000E5EF2">
        <w:rPr>
          <w:rFonts w:ascii="Times New Roman" w:hAnsi="Times New Roman"/>
        </w:rPr>
        <w:t xml:space="preserve"> zajišťující akvizici původní české literatury pro veřejné knihovny a dotační řízení Knihovna 21. </w:t>
      </w:r>
      <w:r w:rsidR="00AF1321">
        <w:rPr>
          <w:rFonts w:ascii="Times New Roman" w:hAnsi="Times New Roman"/>
        </w:rPr>
        <w:t>s</w:t>
      </w:r>
      <w:r w:rsidRPr="000E5EF2">
        <w:rPr>
          <w:rFonts w:ascii="Times New Roman" w:hAnsi="Times New Roman"/>
        </w:rPr>
        <w:t>toletí</w:t>
      </w:r>
      <w:r w:rsidR="00AF1321">
        <w:rPr>
          <w:rFonts w:ascii="Times New Roman" w:hAnsi="Times New Roman"/>
        </w:rPr>
        <w:t xml:space="preserve"> -</w:t>
      </w:r>
      <w:r w:rsidRPr="000E5EF2">
        <w:rPr>
          <w:rFonts w:ascii="Times New Roman" w:hAnsi="Times New Roman"/>
        </w:rPr>
        <w:t xml:space="preserve"> zaměřené na podporu akvizice literatury pro zdravotně postižené, národnostní menšiny a kulturní a vzdělávací činnosti knihoven. </w:t>
      </w:r>
      <w:r w:rsidR="007901B8" w:rsidRPr="000E5EF2">
        <w:rPr>
          <w:rFonts w:ascii="Times New Roman" w:hAnsi="Times New Roman"/>
        </w:rPr>
        <w:t>Program kulturní aktivit</w:t>
      </w:r>
      <w:r w:rsidR="0030043A" w:rsidRPr="000E5EF2">
        <w:rPr>
          <w:rFonts w:ascii="Times New Roman" w:hAnsi="Times New Roman"/>
        </w:rPr>
        <w:t>y</w:t>
      </w:r>
      <w:r w:rsidR="007901B8" w:rsidRPr="000E5EF2">
        <w:rPr>
          <w:rFonts w:ascii="Times New Roman" w:hAnsi="Times New Roman"/>
        </w:rPr>
        <w:t xml:space="preserve"> přispívá i k prezentaci movitého dědictví formou instalací stálých expozic v muzeích </w:t>
      </w:r>
      <w:r w:rsidRPr="000E5EF2">
        <w:rPr>
          <w:rFonts w:ascii="Times New Roman" w:hAnsi="Times New Roman"/>
          <w:highlight w:val="yellow"/>
        </w:rPr>
        <w:br/>
      </w:r>
      <w:r w:rsidR="007901B8" w:rsidRPr="000E5EF2">
        <w:rPr>
          <w:rFonts w:ascii="Times New Roman" w:hAnsi="Times New Roman"/>
        </w:rPr>
        <w:t>a galeriích, restaurováním sbírkových předmětů použitých do expozic, vydáváním katalogů sbírek předmětů kulturní hodnoty, publikováním studijních materiálů zaměřených na činnost muzeí a galerií a propagaci a popularizaci movitého i duchovního kulturního dědictví a na</w:t>
      </w:r>
      <w:r w:rsidR="00AF1321">
        <w:rPr>
          <w:rFonts w:ascii="Times New Roman" w:hAnsi="Times New Roman"/>
        </w:rPr>
        <w:t> </w:t>
      </w:r>
      <w:r w:rsidR="007901B8" w:rsidRPr="006265C8">
        <w:rPr>
          <w:rFonts w:ascii="Times New Roman" w:hAnsi="Times New Roman"/>
        </w:rPr>
        <w:t>činnost metodických center</w:t>
      </w:r>
      <w:r w:rsidR="00242244" w:rsidRPr="006265C8">
        <w:rPr>
          <w:rFonts w:ascii="Times New Roman" w:hAnsi="Times New Roman"/>
        </w:rPr>
        <w:t>.</w:t>
      </w:r>
      <w:r w:rsidR="007901B8" w:rsidRPr="006265C8">
        <w:rPr>
          <w:rFonts w:ascii="Times New Roman" w:hAnsi="Times New Roman"/>
        </w:rPr>
        <w:t xml:space="preserve"> </w:t>
      </w:r>
      <w:r w:rsidR="006C1016" w:rsidRPr="006265C8">
        <w:rPr>
          <w:rFonts w:ascii="Times New Roman" w:hAnsi="Times New Roman"/>
        </w:rPr>
        <w:t xml:space="preserve">Činnosti </w:t>
      </w:r>
      <w:r w:rsidR="006C1016" w:rsidRPr="000E5EF2">
        <w:rPr>
          <w:rFonts w:ascii="Times New Roman" w:hAnsi="Times New Roman"/>
        </w:rPr>
        <w:t>metodických center jsou ukotveny ve zřizovacích listinách příspěvkových organizací v působnosti Ministerstva kultury. Metodická centra realizují aktivity a činnosti dle Koncepce rozvoje muzejnictví na</w:t>
      </w:r>
      <w:r w:rsidR="00412836" w:rsidRPr="000E5EF2">
        <w:rPr>
          <w:rFonts w:ascii="Times New Roman" w:hAnsi="Times New Roman"/>
        </w:rPr>
        <w:t> </w:t>
      </w:r>
      <w:r w:rsidR="006C1016" w:rsidRPr="000E5EF2">
        <w:rPr>
          <w:rFonts w:ascii="Times New Roman" w:hAnsi="Times New Roman"/>
        </w:rPr>
        <w:t>léta 2010 – 2014 (usnesení vlády České republiky ze dne 1. 12. 2010 č. 862) a jsou veřejnou službou. Poskytují informace a služby vlastníkům a správcům sbírek muzejní povahy a dalším zájemcům, vydávají metodické pokyny a texty, poskytují konzultace, pořádají odborné semináře atd. Byly zřízeny při příspěvkových organizacích Národní muzeum, Moravská galerie, Technické muzeum v Brně, Národní galerie, Moravské zemské muzeum, Valašské muzeum v přírodě v Rožnově pod Radhoštěm a Památník národního písemnictví.</w:t>
      </w:r>
    </w:p>
    <w:p w14:paraId="513478AB" w14:textId="77777777" w:rsidR="00713FD8" w:rsidRPr="000E5EF2" w:rsidRDefault="007901B8" w:rsidP="000F6720">
      <w:pPr>
        <w:pStyle w:val="Zhlav"/>
        <w:spacing w:before="120"/>
        <w:rPr>
          <w:rFonts w:ascii="Times New Roman" w:hAnsi="Times New Roman"/>
        </w:rPr>
      </w:pPr>
      <w:r w:rsidRPr="000E5EF2">
        <w:rPr>
          <w:rFonts w:ascii="Times New Roman" w:hAnsi="Times New Roman"/>
        </w:rPr>
        <w:t>V oblasti památkové péče se z programu kulturní aktivit</w:t>
      </w:r>
      <w:r w:rsidR="0030043A" w:rsidRPr="000E5EF2">
        <w:rPr>
          <w:rFonts w:ascii="Times New Roman" w:hAnsi="Times New Roman"/>
        </w:rPr>
        <w:t>y</w:t>
      </w:r>
      <w:r w:rsidRPr="000E5EF2">
        <w:rPr>
          <w:rFonts w:ascii="Times New Roman" w:hAnsi="Times New Roman"/>
        </w:rPr>
        <w:t xml:space="preserve"> poskytují prostředky spolkům popř. obecně prospěšným společnostem, pokud vyvíjejí svoji činnost na úseku památkové péče. </w:t>
      </w:r>
      <w:r w:rsidR="00242244" w:rsidRPr="000E5EF2">
        <w:rPr>
          <w:rFonts w:ascii="Times New Roman" w:hAnsi="Times New Roman"/>
        </w:rPr>
        <w:t xml:space="preserve">Program Podpora projektů spolků a pobočných spolků je určen na podporu projektů spolků </w:t>
      </w:r>
      <w:r w:rsidR="00713FD8" w:rsidRPr="000E5EF2">
        <w:rPr>
          <w:rFonts w:ascii="Times New Roman" w:hAnsi="Times New Roman"/>
        </w:rPr>
        <w:br/>
      </w:r>
      <w:r w:rsidR="00242244" w:rsidRPr="000E5EF2">
        <w:rPr>
          <w:rFonts w:ascii="Times New Roman" w:hAnsi="Times New Roman"/>
        </w:rPr>
        <w:t>a pobočných spolků jako právnických osob vzniklých registrací ve smyslu § 6 zákona č.</w:t>
      </w:r>
      <w:r w:rsidR="00654D99">
        <w:rPr>
          <w:rFonts w:ascii="Times New Roman" w:hAnsi="Times New Roman"/>
        </w:rPr>
        <w:t> </w:t>
      </w:r>
      <w:r w:rsidR="00242244" w:rsidRPr="000E5EF2">
        <w:rPr>
          <w:rFonts w:ascii="Times New Roman" w:hAnsi="Times New Roman"/>
        </w:rPr>
        <w:t>83/</w:t>
      </w:r>
      <w:r w:rsidR="006C1016" w:rsidRPr="000E5EF2">
        <w:rPr>
          <w:rFonts w:ascii="Times New Roman" w:hAnsi="Times New Roman"/>
        </w:rPr>
        <w:t xml:space="preserve">1990 Sb., o sdružování občanů, ve znění pozdějších předpisů, a organizací s mezinárodním prvkem dle zákona č. 116/1985 Sb., ve znění pozdějších předpisů, podporujících kulturní aktivity v oblasti movitého kulturního dědictví, muzeí a galerií. Výběrové dotační řízení tohoto podprogramu je vypisováno </w:t>
      </w:r>
      <w:r w:rsidR="001A6479" w:rsidRPr="000E5EF2">
        <w:rPr>
          <w:rFonts w:ascii="Times New Roman" w:hAnsi="Times New Roman"/>
        </w:rPr>
        <w:t>v okruzích „Prezentace, popularizace a ochrana movitého kulturního dědictví, muzeí a galerií“ a „Zajišťování informačního servisu a komunikace v oboru muzejnictví</w:t>
      </w:r>
      <w:r w:rsidR="006C1016" w:rsidRPr="000E5EF2">
        <w:rPr>
          <w:rFonts w:ascii="Times New Roman" w:hAnsi="Times New Roman"/>
        </w:rPr>
        <w:t>, organizace a účast na seminářích, školeních, kolokviích apod., zaměřených na ochranu movitého kulturního dědictví a s tím související vědní obory, sbírkotvornou činnost, výzkum a vývoj, s celostátním nebo</w:t>
      </w:r>
      <w:r w:rsidR="00412836" w:rsidRPr="000E5EF2">
        <w:rPr>
          <w:rFonts w:ascii="Times New Roman" w:hAnsi="Times New Roman"/>
        </w:rPr>
        <w:t> </w:t>
      </w:r>
      <w:r w:rsidR="006C1016" w:rsidRPr="000E5EF2">
        <w:rPr>
          <w:rFonts w:ascii="Times New Roman" w:hAnsi="Times New Roman"/>
        </w:rPr>
        <w:t>mezinárodním významem</w:t>
      </w:r>
      <w:r w:rsidR="001A6479" w:rsidRPr="000E5EF2">
        <w:rPr>
          <w:rFonts w:ascii="Times New Roman" w:hAnsi="Times New Roman"/>
        </w:rPr>
        <w:t>“</w:t>
      </w:r>
      <w:r w:rsidR="00EA3037" w:rsidRPr="000E5EF2">
        <w:rPr>
          <w:rFonts w:ascii="Times New Roman" w:hAnsi="Times New Roman"/>
        </w:rPr>
        <w:t xml:space="preserve">. </w:t>
      </w:r>
    </w:p>
    <w:p w14:paraId="513478AC" w14:textId="77777777" w:rsidR="007901B8" w:rsidRPr="000E5EF2" w:rsidRDefault="00713FD8" w:rsidP="000F6720">
      <w:pPr>
        <w:pStyle w:val="Zhlav"/>
        <w:spacing w:before="120"/>
        <w:rPr>
          <w:rFonts w:ascii="Times New Roman" w:hAnsi="Times New Roman"/>
        </w:rPr>
      </w:pPr>
      <w:r w:rsidRPr="000E5EF2">
        <w:rPr>
          <w:rFonts w:ascii="Times New Roman" w:hAnsi="Times New Roman"/>
        </w:rPr>
        <w:t>D</w:t>
      </w:r>
      <w:r w:rsidR="007901B8" w:rsidRPr="000E5EF2">
        <w:rPr>
          <w:rFonts w:ascii="Times New Roman" w:hAnsi="Times New Roman"/>
        </w:rPr>
        <w:t>ále</w:t>
      </w:r>
      <w:r w:rsidRPr="000E5EF2">
        <w:rPr>
          <w:rFonts w:ascii="Times New Roman" w:hAnsi="Times New Roman"/>
        </w:rPr>
        <w:t xml:space="preserve"> jsou</w:t>
      </w:r>
      <w:r w:rsidR="007901B8" w:rsidRPr="000E5EF2">
        <w:rPr>
          <w:rFonts w:ascii="Times New Roman" w:hAnsi="Times New Roman"/>
        </w:rPr>
        <w:t xml:space="preserve"> podpor</w:t>
      </w:r>
      <w:r w:rsidRPr="000E5EF2">
        <w:rPr>
          <w:rFonts w:ascii="Times New Roman" w:hAnsi="Times New Roman"/>
        </w:rPr>
        <w:t>ovány</w:t>
      </w:r>
      <w:r w:rsidR="007901B8" w:rsidRPr="000E5EF2">
        <w:rPr>
          <w:rFonts w:ascii="Times New Roman" w:hAnsi="Times New Roman"/>
        </w:rPr>
        <w:t xml:space="preserve"> kulturní aktivity zdravotně postižených občanů a seniorů, národnostních menšin, integrace romské komunity, neprofesionálních uměleckých aktivit, včetně zahraničních kontaktů v oblasti neprofesionálního umění, zájmových, kulturních mimouměleckých aktivit, tradiční lidové kultury, podporují se i významné regionální akce, výročí měst, obcí, významných osobností a historických událostí. Prostředky jsou rovněž směrovány na financování příspěvků na tvůrčí nebo studijní účely (tzv. Stipendijní program) </w:t>
      </w:r>
      <w:r w:rsidRPr="000E5EF2">
        <w:rPr>
          <w:rFonts w:ascii="Times New Roman" w:hAnsi="Times New Roman"/>
        </w:rPr>
        <w:br/>
      </w:r>
      <w:r w:rsidR="007901B8" w:rsidRPr="000E5EF2">
        <w:rPr>
          <w:rFonts w:ascii="Times New Roman" w:hAnsi="Times New Roman"/>
        </w:rPr>
        <w:t>a financování podpory muzeí, galerií a výstavních síní.</w:t>
      </w:r>
    </w:p>
    <w:p w14:paraId="513478AD" w14:textId="77777777" w:rsidR="007901B8" w:rsidRPr="000E5EF2" w:rsidRDefault="007901B8" w:rsidP="000F6720">
      <w:pPr>
        <w:spacing w:before="120" w:line="240" w:lineRule="auto"/>
        <w:rPr>
          <w:rFonts w:ascii="Times New Roman" w:hAnsi="Times New Roman"/>
        </w:rPr>
      </w:pPr>
      <w:r w:rsidRPr="000E5EF2">
        <w:rPr>
          <w:rFonts w:ascii="Times New Roman" w:hAnsi="Times New Roman"/>
        </w:rPr>
        <w:t>Z programu kulturní aktivit</w:t>
      </w:r>
      <w:r w:rsidR="0030043A" w:rsidRPr="000E5EF2">
        <w:rPr>
          <w:rFonts w:ascii="Times New Roman" w:hAnsi="Times New Roman"/>
        </w:rPr>
        <w:t>y</w:t>
      </w:r>
      <w:r w:rsidRPr="000E5EF2">
        <w:rPr>
          <w:rFonts w:ascii="Times New Roman" w:hAnsi="Times New Roman"/>
        </w:rPr>
        <w:t xml:space="preserve"> se financují dotace na přijaté projekty v rámci komunitárního programu Kreativní Evropa pro období let 2014-2020, který byl oficiálně zahájen dne 1. ledna 2014 k podpoře kulturních a kreativních odvětví. Jeho cílem je vytvoření jednotného rámce pro podporu evropské kinematografie, literatury, scénických umění, kulturního dědictví </w:t>
      </w:r>
      <w:r w:rsidR="000B2BD3" w:rsidRPr="000E5EF2">
        <w:rPr>
          <w:rFonts w:ascii="Times New Roman" w:hAnsi="Times New Roman"/>
        </w:rPr>
        <w:br/>
      </w:r>
      <w:r w:rsidRPr="000E5EF2">
        <w:rPr>
          <w:rFonts w:ascii="Times New Roman" w:hAnsi="Times New Roman"/>
        </w:rPr>
        <w:t>a dalších kulturních oblastí. Dotace umožňují českým subjektům konkurenceschopnost v</w:t>
      </w:r>
      <w:r w:rsidR="00654D99">
        <w:rPr>
          <w:rFonts w:ascii="Times New Roman" w:hAnsi="Times New Roman"/>
        </w:rPr>
        <w:t> </w:t>
      </w:r>
      <w:r w:rsidRPr="000E5EF2">
        <w:rPr>
          <w:rFonts w:ascii="Times New Roman" w:hAnsi="Times New Roman"/>
        </w:rPr>
        <w:t xml:space="preserve">rámci soutěže ČS EU k získání grantů v oblasti kultury a kulturního dědictví z tohoto programu. </w:t>
      </w:r>
    </w:p>
    <w:p w14:paraId="513478AE" w14:textId="77777777" w:rsidR="006C1016" w:rsidRPr="000E5EF2" w:rsidRDefault="00713FD8" w:rsidP="000F6720">
      <w:pPr>
        <w:spacing w:before="120" w:line="240" w:lineRule="auto"/>
        <w:rPr>
          <w:rFonts w:ascii="Times New Roman" w:hAnsi="Times New Roman"/>
        </w:rPr>
      </w:pPr>
      <w:r w:rsidRPr="000E5EF2">
        <w:rPr>
          <w:rFonts w:ascii="Times New Roman" w:hAnsi="Times New Roman"/>
        </w:rPr>
        <w:t>V</w:t>
      </w:r>
      <w:r w:rsidR="006C1016" w:rsidRPr="000E5EF2">
        <w:rPr>
          <w:rFonts w:ascii="Times New Roman" w:hAnsi="Times New Roman"/>
        </w:rPr>
        <w:t xml:space="preserve"> programu jsou alokovány finanční prostředky 18</w:t>
      </w:r>
      <w:r w:rsidR="008178EB" w:rsidRPr="000E5EF2">
        <w:rPr>
          <w:rFonts w:ascii="Times New Roman" w:hAnsi="Times New Roman"/>
        </w:rPr>
        <w:t xml:space="preserve"> </w:t>
      </w:r>
      <w:r w:rsidR="006C1016" w:rsidRPr="000E5EF2">
        <w:rPr>
          <w:rFonts w:ascii="Times New Roman" w:hAnsi="Times New Roman"/>
        </w:rPr>
        <w:t xml:space="preserve">příspěvkovým organizacím Ministerstva kultury na podporu jejich zvláště významných projektů, na cyklické akce, aktivity </w:t>
      </w:r>
      <w:r w:rsidR="006C1016" w:rsidRPr="000E5EF2">
        <w:rPr>
          <w:rFonts w:ascii="Times New Roman" w:hAnsi="Times New Roman"/>
        </w:rPr>
        <w:lastRenderedPageBreak/>
        <w:t xml:space="preserve">k významným výročím a na pietní akty, které nelze zajistit z běžného rozpočtu na provoz </w:t>
      </w:r>
      <w:r w:rsidRPr="000E5EF2">
        <w:rPr>
          <w:rFonts w:ascii="Times New Roman" w:hAnsi="Times New Roman"/>
        </w:rPr>
        <w:br/>
      </w:r>
      <w:r w:rsidR="006C1016" w:rsidRPr="000E5EF2">
        <w:rPr>
          <w:rFonts w:ascii="Times New Roman" w:hAnsi="Times New Roman"/>
        </w:rPr>
        <w:t xml:space="preserve">a činnost. Zejména se jedná o projekty s participací Ministerstva kultury, výroční aktivity, projekty rozvíjející vědeckou činnost organizací, podporující národní identitu nebo mají mezinárodní charakter. Řada z nich je víceletých, cyklických, navazujících na předchozí přípravné práce. </w:t>
      </w:r>
      <w:r w:rsidRPr="000E5EF2">
        <w:rPr>
          <w:rFonts w:ascii="Times New Roman" w:hAnsi="Times New Roman"/>
        </w:rPr>
        <w:t>Projektům je zpravidla udělována záštita ministra nebo ministerstva.</w:t>
      </w:r>
    </w:p>
    <w:p w14:paraId="513478AF" w14:textId="77777777" w:rsidR="007901B8" w:rsidRPr="000E5EF2" w:rsidRDefault="007901B8" w:rsidP="000F6720">
      <w:pPr>
        <w:pStyle w:val="Zhlav"/>
        <w:spacing w:before="120"/>
        <w:rPr>
          <w:rFonts w:ascii="Times New Roman" w:hAnsi="Times New Roman"/>
        </w:rPr>
      </w:pPr>
      <w:r w:rsidRPr="000E5EF2">
        <w:rPr>
          <w:rFonts w:ascii="Times New Roman" w:hAnsi="Times New Roman"/>
        </w:rPr>
        <w:t>K mimořádně významným akcím s pravidelnou periodicitou náleží např. Mezinárodní hudební festival Pražské jaro, Divadelní festival Plzeň, Tanec Praha,</w:t>
      </w:r>
      <w:r w:rsidR="0030043A" w:rsidRPr="000E5EF2">
        <w:rPr>
          <w:rFonts w:ascii="Times New Roman" w:hAnsi="Times New Roman"/>
        </w:rPr>
        <w:t xml:space="preserve"> Fotograf festival,</w:t>
      </w:r>
      <w:r w:rsidRPr="000E5EF2">
        <w:rPr>
          <w:rFonts w:ascii="Times New Roman" w:hAnsi="Times New Roman"/>
        </w:rPr>
        <w:t xml:space="preserve"> Jiráskův Hronov, Pražské Quadriennale, Mezinárodní folklorní festival Strážnice, Mezinárodní filmový festival Karlovy Vary a řada dalších. Jedná se o nejvýznamnější akce pořádané v ČR ve všech oborech umělecké, tradičně lidové a všeobecně kulturní činnosti.</w:t>
      </w:r>
    </w:p>
    <w:p w14:paraId="513478B0" w14:textId="77777777" w:rsidR="00605D31" w:rsidRPr="000E5EF2" w:rsidRDefault="0030043A" w:rsidP="000F6720">
      <w:pPr>
        <w:spacing w:before="120" w:line="240" w:lineRule="auto"/>
        <w:rPr>
          <w:rFonts w:ascii="Times New Roman" w:hAnsi="Times New Roman"/>
          <w:lang w:eastAsia="en-US"/>
        </w:rPr>
      </w:pPr>
      <w:r w:rsidRPr="000E5EF2">
        <w:rPr>
          <w:rFonts w:ascii="Times New Roman" w:hAnsi="Times New Roman"/>
          <w:lang w:eastAsia="en-US"/>
        </w:rPr>
        <w:t xml:space="preserve">V roce 2016 budou posílena výběrová dotační řízení programu kulturní aktivity za účelem podpory projektů tematicky spjatých se 700. výročím narození císaře </w:t>
      </w:r>
      <w:r w:rsidRPr="006265C8">
        <w:rPr>
          <w:rFonts w:ascii="Times New Roman" w:hAnsi="Times New Roman"/>
          <w:lang w:eastAsia="en-US"/>
        </w:rPr>
        <w:t>Karla IV.</w:t>
      </w:r>
    </w:p>
    <w:p w14:paraId="513478B1" w14:textId="77777777" w:rsidR="001426A0" w:rsidRPr="000E5EF2" w:rsidRDefault="001426A0" w:rsidP="00386A2C">
      <w:pPr>
        <w:pStyle w:val="Zhlav"/>
        <w:spacing w:before="120"/>
        <w:rPr>
          <w:rFonts w:ascii="Times New Roman" w:hAnsi="Times New Roman"/>
          <w:u w:val="single"/>
        </w:rPr>
      </w:pPr>
      <w:r w:rsidRPr="000E5EF2">
        <w:rPr>
          <w:rFonts w:ascii="Times New Roman" w:hAnsi="Times New Roman"/>
          <w:u w:val="single"/>
        </w:rPr>
        <w:t>Prioritní akce</w:t>
      </w:r>
      <w:r w:rsidR="004B457C" w:rsidRPr="000E5EF2">
        <w:rPr>
          <w:rFonts w:ascii="Times New Roman" w:hAnsi="Times New Roman"/>
          <w:u w:val="single"/>
        </w:rPr>
        <w:tab/>
      </w:r>
      <w:r w:rsidR="0076650F" w:rsidRPr="000E5EF2">
        <w:rPr>
          <w:rFonts w:ascii="Times New Roman" w:hAnsi="Times New Roman"/>
          <w:u w:val="single"/>
        </w:rPr>
        <w:tab/>
      </w:r>
      <w:r w:rsidR="00386A2C" w:rsidRPr="000E5EF2">
        <w:rPr>
          <w:rFonts w:ascii="Times New Roman" w:hAnsi="Times New Roman"/>
          <w:b/>
          <w:u w:val="single"/>
        </w:rPr>
        <w:t>      </w:t>
      </w:r>
      <w:r w:rsidR="0076650F" w:rsidRPr="000E5EF2">
        <w:rPr>
          <w:rFonts w:ascii="Times New Roman" w:hAnsi="Times New Roman"/>
          <w:b/>
          <w:u w:val="single"/>
        </w:rPr>
        <w:t>  </w:t>
      </w:r>
      <w:r w:rsidR="00386A2C" w:rsidRPr="000E5EF2">
        <w:rPr>
          <w:rFonts w:ascii="Times New Roman" w:hAnsi="Times New Roman"/>
          <w:b/>
          <w:u w:val="single"/>
        </w:rPr>
        <w:t> </w:t>
      </w:r>
      <w:r w:rsidR="004B457C" w:rsidRPr="000E5EF2">
        <w:rPr>
          <w:rFonts w:ascii="Times New Roman" w:hAnsi="Times New Roman"/>
          <w:u w:val="single"/>
        </w:rPr>
        <w:t>60 000</w:t>
      </w:r>
      <w:r w:rsidR="00386A2C" w:rsidRPr="000E5EF2">
        <w:rPr>
          <w:rFonts w:ascii="Times New Roman" w:hAnsi="Times New Roman"/>
          <w:u w:val="single"/>
        </w:rPr>
        <w:t> </w:t>
      </w:r>
      <w:r w:rsidR="004B457C" w:rsidRPr="000E5EF2">
        <w:rPr>
          <w:rFonts w:ascii="Times New Roman" w:hAnsi="Times New Roman"/>
          <w:u w:val="single"/>
        </w:rPr>
        <w:t>000</w:t>
      </w:r>
      <w:r w:rsidR="00386A2C" w:rsidRPr="000E5EF2">
        <w:rPr>
          <w:rFonts w:ascii="Times New Roman" w:hAnsi="Times New Roman"/>
          <w:u w:val="single"/>
        </w:rPr>
        <w:t> </w:t>
      </w:r>
      <w:r w:rsidR="004B457C" w:rsidRPr="000E5EF2">
        <w:rPr>
          <w:rFonts w:ascii="Times New Roman" w:hAnsi="Times New Roman"/>
          <w:u w:val="single"/>
        </w:rPr>
        <w:t>Kč</w:t>
      </w:r>
    </w:p>
    <w:p w14:paraId="513478B2" w14:textId="77777777" w:rsidR="001426A0" w:rsidRDefault="004B457C" w:rsidP="000F6720">
      <w:pPr>
        <w:pStyle w:val="Zhlav"/>
        <w:spacing w:before="120"/>
        <w:rPr>
          <w:rFonts w:ascii="Times New Roman" w:hAnsi="Times New Roman"/>
        </w:rPr>
      </w:pPr>
      <w:r w:rsidRPr="000E5EF2">
        <w:rPr>
          <w:rFonts w:ascii="Times New Roman" w:hAnsi="Times New Roman"/>
        </w:rPr>
        <w:t xml:space="preserve">V rámci ukazatele kulturní aktivity je </w:t>
      </w:r>
      <w:r w:rsidRPr="006265C8">
        <w:rPr>
          <w:rFonts w:ascii="Times New Roman" w:hAnsi="Times New Roman"/>
        </w:rPr>
        <w:t>n</w:t>
      </w:r>
      <w:r w:rsidR="001426A0" w:rsidRPr="006265C8">
        <w:rPr>
          <w:rFonts w:ascii="Times New Roman" w:hAnsi="Times New Roman"/>
        </w:rPr>
        <w:t>ově připravován Program státní podpory kulturních a</w:t>
      </w:r>
      <w:r w:rsidR="006265C8">
        <w:rPr>
          <w:rFonts w:ascii="Times New Roman" w:hAnsi="Times New Roman"/>
        </w:rPr>
        <w:t> </w:t>
      </w:r>
      <w:r w:rsidR="001426A0" w:rsidRPr="006265C8">
        <w:rPr>
          <w:rFonts w:ascii="Times New Roman" w:hAnsi="Times New Roman"/>
        </w:rPr>
        <w:t xml:space="preserve">kreativních odvětví se zaměřením na festivaly profesionálního </w:t>
      </w:r>
      <w:r w:rsidR="001426A0" w:rsidRPr="000E5EF2">
        <w:rPr>
          <w:rFonts w:ascii="Times New Roman" w:hAnsi="Times New Roman"/>
        </w:rPr>
        <w:t>umění. Tento nově připravovaný program reaguje na specifickou potřebu kontinuálního financování významných projektů v oblasti profesionálního umění, konkrétně v oblasti klasické a alternativní hudby, divadla, tance, výtvarného umění a literatury a dalších aktivit. Jedná se o program zaměřený na oblast projektů v oblasti profesionálního umění, které mají celostátní význam, posilují prestiž české kultury, prezentují a kriticky vyhodnocují aktuální domácí tvorbu nebo</w:t>
      </w:r>
      <w:r w:rsidR="00412836" w:rsidRPr="000E5EF2">
        <w:rPr>
          <w:rFonts w:ascii="Times New Roman" w:hAnsi="Times New Roman"/>
        </w:rPr>
        <w:t> </w:t>
      </w:r>
      <w:r w:rsidR="001426A0" w:rsidRPr="000E5EF2">
        <w:rPr>
          <w:rFonts w:ascii="Times New Roman" w:hAnsi="Times New Roman"/>
        </w:rPr>
        <w:t xml:space="preserve">zpřístupňují českému publiku významné zahraniční umělce. Program je systémovým řešením finanční účasti státu na podpoře profesionálního umění. </w:t>
      </w:r>
    </w:p>
    <w:p w14:paraId="513478B3" w14:textId="77777777" w:rsidR="000E5EF2" w:rsidRPr="000E5EF2" w:rsidRDefault="000E5EF2" w:rsidP="000F6720">
      <w:pPr>
        <w:pStyle w:val="Zhlav"/>
        <w:spacing w:before="120"/>
        <w:rPr>
          <w:rFonts w:ascii="Times New Roman" w:hAnsi="Times New Roman"/>
        </w:rPr>
      </w:pPr>
    </w:p>
    <w:p w14:paraId="513478B4" w14:textId="77777777" w:rsidR="007901B8" w:rsidRPr="000E5EF2" w:rsidRDefault="007901B8" w:rsidP="00E82302">
      <w:pPr>
        <w:spacing w:before="120" w:line="240" w:lineRule="auto"/>
        <w:rPr>
          <w:rFonts w:ascii="Times New Roman" w:hAnsi="Times New Roman"/>
          <w:b/>
        </w:rPr>
      </w:pPr>
      <w:r w:rsidRPr="000E5EF2">
        <w:rPr>
          <w:rFonts w:ascii="Times New Roman" w:hAnsi="Times New Roman"/>
          <w:b/>
        </w:rPr>
        <w:t>c)</w:t>
      </w:r>
      <w:r w:rsidRPr="000E5EF2">
        <w:rPr>
          <w:rFonts w:ascii="Times New Roman" w:hAnsi="Times New Roman"/>
          <w:b/>
        </w:rPr>
        <w:tab/>
        <w:t xml:space="preserve">veřejné informační služby knihoven </w:t>
      </w:r>
      <w:r w:rsidRPr="000E5EF2">
        <w:rPr>
          <w:rFonts w:ascii="Times New Roman" w:hAnsi="Times New Roman"/>
          <w:b/>
        </w:rPr>
        <w:tab/>
      </w:r>
      <w:r w:rsidRPr="000E5EF2">
        <w:rPr>
          <w:rFonts w:ascii="Times New Roman" w:hAnsi="Times New Roman"/>
          <w:b/>
        </w:rPr>
        <w:tab/>
      </w:r>
      <w:r w:rsidRPr="000E5EF2">
        <w:rPr>
          <w:rFonts w:ascii="Times New Roman" w:hAnsi="Times New Roman"/>
          <w:b/>
        </w:rPr>
        <w:tab/>
      </w:r>
      <w:r w:rsidRPr="000E5EF2">
        <w:rPr>
          <w:rFonts w:ascii="Times New Roman" w:hAnsi="Times New Roman"/>
          <w:b/>
        </w:rPr>
        <w:tab/>
        <w:t>         </w:t>
      </w:r>
      <w:r w:rsidR="001318F1" w:rsidRPr="000E5EF2">
        <w:rPr>
          <w:rFonts w:ascii="Times New Roman" w:hAnsi="Times New Roman"/>
          <w:b/>
        </w:rPr>
        <w:t>60</w:t>
      </w:r>
      <w:r w:rsidR="00AA780F" w:rsidRPr="000E5EF2">
        <w:rPr>
          <w:rFonts w:ascii="Times New Roman" w:hAnsi="Times New Roman"/>
          <w:b/>
        </w:rPr>
        <w:t xml:space="preserve"> </w:t>
      </w:r>
      <w:r w:rsidR="001318F1" w:rsidRPr="000E5EF2">
        <w:rPr>
          <w:rFonts w:ascii="Times New Roman" w:hAnsi="Times New Roman"/>
          <w:b/>
        </w:rPr>
        <w:t>0</w:t>
      </w:r>
      <w:r w:rsidR="00AA780F" w:rsidRPr="000E5EF2">
        <w:rPr>
          <w:rFonts w:ascii="Times New Roman" w:hAnsi="Times New Roman"/>
          <w:b/>
        </w:rPr>
        <w:t>00</w:t>
      </w:r>
      <w:r w:rsidR="00386A2C" w:rsidRPr="000E5EF2">
        <w:rPr>
          <w:rFonts w:ascii="Times New Roman" w:hAnsi="Times New Roman"/>
          <w:b/>
        </w:rPr>
        <w:t> </w:t>
      </w:r>
      <w:r w:rsidRPr="000E5EF2">
        <w:rPr>
          <w:rFonts w:ascii="Times New Roman" w:hAnsi="Times New Roman"/>
          <w:b/>
        </w:rPr>
        <w:t>000</w:t>
      </w:r>
      <w:r w:rsidR="00386A2C" w:rsidRPr="000E5EF2">
        <w:rPr>
          <w:rFonts w:ascii="Times New Roman" w:hAnsi="Times New Roman"/>
          <w:b/>
        </w:rPr>
        <w:t> </w:t>
      </w:r>
      <w:r w:rsidRPr="000E5EF2">
        <w:rPr>
          <w:rFonts w:ascii="Times New Roman" w:hAnsi="Times New Roman"/>
          <w:b/>
        </w:rPr>
        <w:t>Kč</w:t>
      </w:r>
    </w:p>
    <w:p w14:paraId="513478B5" w14:textId="77777777" w:rsidR="007901B8" w:rsidRPr="000E5EF2" w:rsidRDefault="007901B8" w:rsidP="000F6720">
      <w:pPr>
        <w:pStyle w:val="Zhlav"/>
        <w:spacing w:before="120"/>
        <w:rPr>
          <w:rFonts w:ascii="Times New Roman" w:hAnsi="Times New Roman"/>
        </w:rPr>
      </w:pPr>
      <w:r w:rsidRPr="000E5EF2">
        <w:rPr>
          <w:rFonts w:ascii="Times New Roman" w:hAnsi="Times New Roman"/>
        </w:rPr>
        <w:t>Program „Veřejné informační služby knihoven“ je zavedeným a efektivním nástrojem podpory rozvoje oblasti knihoven, poskytujících veřejné knihovnické a informační služby dle</w:t>
      </w:r>
      <w:r w:rsidR="000E5EF2">
        <w:rPr>
          <w:rFonts w:ascii="Times New Roman" w:hAnsi="Times New Roman"/>
        </w:rPr>
        <w:t> </w:t>
      </w:r>
      <w:r w:rsidRPr="000E5EF2">
        <w:rPr>
          <w:rFonts w:ascii="Times New Roman" w:hAnsi="Times New Roman"/>
        </w:rPr>
        <w:t>zákona č. 257/2001 Sb., o knihovnách a podmínkách poskytování veřejných knihovnických a informačních služeb, v platném znění</w:t>
      </w:r>
      <w:r w:rsidR="000E5EF2">
        <w:rPr>
          <w:rFonts w:ascii="Times New Roman" w:hAnsi="Times New Roman"/>
        </w:rPr>
        <w:t>.</w:t>
      </w:r>
      <w:r w:rsidRPr="000E5EF2">
        <w:rPr>
          <w:rFonts w:ascii="Times New Roman" w:hAnsi="Times New Roman"/>
        </w:rPr>
        <w:t xml:space="preserve"> Je určen na podporu činnosti více než</w:t>
      </w:r>
      <w:r w:rsidR="000E5EF2">
        <w:rPr>
          <w:rFonts w:ascii="Times New Roman" w:hAnsi="Times New Roman"/>
        </w:rPr>
        <w:t> </w:t>
      </w:r>
      <w:r w:rsidRPr="000E5EF2">
        <w:rPr>
          <w:rFonts w:ascii="Times New Roman" w:hAnsi="Times New Roman"/>
        </w:rPr>
        <w:t xml:space="preserve">6 </w:t>
      </w:r>
      <w:r w:rsidR="001C0F1B" w:rsidRPr="000E5EF2">
        <w:rPr>
          <w:rFonts w:ascii="Times New Roman" w:hAnsi="Times New Roman"/>
        </w:rPr>
        <w:t>5</w:t>
      </w:r>
      <w:r w:rsidRPr="000E5EF2">
        <w:rPr>
          <w:rFonts w:ascii="Times New Roman" w:hAnsi="Times New Roman"/>
        </w:rPr>
        <w:t>00 knihoven České republiky, zapsaných v evidenci Ministerstva kultury.</w:t>
      </w:r>
    </w:p>
    <w:p w14:paraId="513478B6" w14:textId="77777777" w:rsidR="007901B8" w:rsidRPr="000E5EF2" w:rsidRDefault="007901B8" w:rsidP="000F6720">
      <w:pPr>
        <w:pStyle w:val="Zhlav"/>
        <w:spacing w:before="120"/>
        <w:rPr>
          <w:rFonts w:ascii="Times New Roman" w:hAnsi="Times New Roman"/>
        </w:rPr>
      </w:pPr>
      <w:r w:rsidRPr="000E5EF2">
        <w:rPr>
          <w:rFonts w:ascii="Times New Roman" w:hAnsi="Times New Roman"/>
        </w:rPr>
        <w:t xml:space="preserve">Program je základním finančním nástrojem implementace základního strategického materiálu </w:t>
      </w:r>
      <w:r w:rsidR="000E5EF2" w:rsidRPr="000E5EF2">
        <w:rPr>
          <w:rFonts w:ascii="Times New Roman" w:hAnsi="Times New Roman"/>
        </w:rPr>
        <w:t>Ministerstva kultury</w:t>
      </w:r>
      <w:r w:rsidRPr="000E5EF2">
        <w:rPr>
          <w:rFonts w:ascii="Times New Roman" w:hAnsi="Times New Roman"/>
        </w:rPr>
        <w:t xml:space="preserve"> pro oblast knihoven, Koncepce rozvoje knihoven v ČR na léta </w:t>
      </w:r>
      <w:r w:rsidR="000E5EF2">
        <w:rPr>
          <w:rFonts w:ascii="Times New Roman" w:hAnsi="Times New Roman"/>
        </w:rPr>
        <w:br/>
      </w:r>
      <w:r w:rsidRPr="000E5EF2">
        <w:rPr>
          <w:rFonts w:ascii="Times New Roman" w:hAnsi="Times New Roman"/>
        </w:rPr>
        <w:t>2011</w:t>
      </w:r>
      <w:r w:rsidR="000E5EF2">
        <w:rPr>
          <w:rFonts w:ascii="Times New Roman" w:hAnsi="Times New Roman"/>
        </w:rPr>
        <w:t> - </w:t>
      </w:r>
      <w:r w:rsidRPr="000E5EF2">
        <w:rPr>
          <w:rFonts w:ascii="Times New Roman" w:hAnsi="Times New Roman"/>
        </w:rPr>
        <w:t>2015, schválené usnesením vlády č. 28/2012. Dotace jsou poskytovány na vzdělávání knihovníků v oblasti informačních a komunikačních technologií, na projekty z oblasti tvorby a</w:t>
      </w:r>
      <w:r w:rsidR="000E5EF2">
        <w:rPr>
          <w:rFonts w:ascii="Times New Roman" w:hAnsi="Times New Roman"/>
        </w:rPr>
        <w:t> </w:t>
      </w:r>
      <w:r w:rsidRPr="000E5EF2">
        <w:rPr>
          <w:rFonts w:ascii="Times New Roman" w:hAnsi="Times New Roman"/>
        </w:rPr>
        <w:t xml:space="preserve">zpřístupňování dat v síti (vytváření elektronických katalogů, podpora ICT v knihovnách, digitalizace rukopisů a starých a vzácných tisků, reformátování dokumentů ohrožených rozpadem kyselého papíru), na nákup elektronických zdrojů apod. </w:t>
      </w:r>
      <w:r w:rsidR="00D47A82">
        <w:rPr>
          <w:rFonts w:ascii="Times New Roman" w:hAnsi="Times New Roman"/>
        </w:rPr>
        <w:t>R</w:t>
      </w:r>
      <w:r w:rsidRPr="000E5EF2">
        <w:rPr>
          <w:rFonts w:ascii="Times New Roman" w:hAnsi="Times New Roman"/>
        </w:rPr>
        <w:t>ozpoč</w:t>
      </w:r>
      <w:r w:rsidR="00D47A82">
        <w:rPr>
          <w:rFonts w:ascii="Times New Roman" w:hAnsi="Times New Roman"/>
        </w:rPr>
        <w:t>e</w:t>
      </w:r>
      <w:r w:rsidRPr="000E5EF2">
        <w:rPr>
          <w:rFonts w:ascii="Times New Roman" w:hAnsi="Times New Roman"/>
        </w:rPr>
        <w:t>t na rok 201</w:t>
      </w:r>
      <w:r w:rsidR="00AA780F" w:rsidRPr="000E5EF2">
        <w:rPr>
          <w:rFonts w:ascii="Times New Roman" w:hAnsi="Times New Roman"/>
        </w:rPr>
        <w:t>6</w:t>
      </w:r>
      <w:r w:rsidRPr="000E5EF2">
        <w:rPr>
          <w:rFonts w:ascii="Times New Roman" w:hAnsi="Times New Roman"/>
        </w:rPr>
        <w:t xml:space="preserve"> je o  </w:t>
      </w:r>
      <w:r w:rsidR="001318F1" w:rsidRPr="000E5EF2">
        <w:rPr>
          <w:rFonts w:ascii="Times New Roman" w:hAnsi="Times New Roman"/>
        </w:rPr>
        <w:t>17</w:t>
      </w:r>
      <w:r w:rsidR="00AA780F" w:rsidRPr="000E5EF2">
        <w:rPr>
          <w:rFonts w:ascii="Times New Roman" w:hAnsi="Times New Roman"/>
        </w:rPr>
        <w:t xml:space="preserve"> </w:t>
      </w:r>
      <w:r w:rsidR="001318F1" w:rsidRPr="000E5EF2">
        <w:rPr>
          <w:rFonts w:ascii="Times New Roman" w:hAnsi="Times New Roman"/>
        </w:rPr>
        <w:t>470</w:t>
      </w:r>
      <w:r w:rsidRPr="000E5EF2">
        <w:rPr>
          <w:rFonts w:ascii="Times New Roman" w:hAnsi="Times New Roman"/>
        </w:rPr>
        <w:t xml:space="preserve"> tis. Kč </w:t>
      </w:r>
      <w:r w:rsidR="001318F1" w:rsidRPr="000E5EF2">
        <w:rPr>
          <w:rFonts w:ascii="Times New Roman" w:hAnsi="Times New Roman"/>
        </w:rPr>
        <w:t>vyšší</w:t>
      </w:r>
      <w:r w:rsidRPr="000E5EF2">
        <w:rPr>
          <w:rFonts w:ascii="Times New Roman" w:hAnsi="Times New Roman"/>
        </w:rPr>
        <w:t xml:space="preserve"> než schválený rozpočet 201</w:t>
      </w:r>
      <w:r w:rsidR="00AA780F" w:rsidRPr="000E5EF2">
        <w:rPr>
          <w:rFonts w:ascii="Times New Roman" w:hAnsi="Times New Roman"/>
        </w:rPr>
        <w:t>5.</w:t>
      </w:r>
      <w:r w:rsidR="00111719" w:rsidRPr="000E5EF2">
        <w:rPr>
          <w:rFonts w:ascii="Times New Roman" w:hAnsi="Times New Roman"/>
        </w:rPr>
        <w:t xml:space="preserve"> </w:t>
      </w:r>
    </w:p>
    <w:p w14:paraId="513478B7" w14:textId="77777777" w:rsidR="00F86015" w:rsidRDefault="00F86015">
      <w:pPr>
        <w:spacing w:after="200"/>
        <w:jc w:val="left"/>
        <w:rPr>
          <w:rFonts w:ascii="Times New Roman" w:hAnsi="Times New Roman"/>
          <w:lang w:eastAsia="en-US"/>
        </w:rPr>
      </w:pPr>
      <w:r>
        <w:rPr>
          <w:rFonts w:ascii="Times New Roman" w:hAnsi="Times New Roman"/>
          <w:lang w:eastAsia="en-US"/>
        </w:rPr>
        <w:br w:type="page"/>
      </w:r>
    </w:p>
    <w:p w14:paraId="513478B8" w14:textId="77777777" w:rsidR="007901B8" w:rsidRPr="00E96118" w:rsidRDefault="007901B8" w:rsidP="001D72D6">
      <w:pPr>
        <w:pStyle w:val="Nadpis2"/>
      </w:pPr>
      <w:bookmarkStart w:id="12" w:name="_Toc431911986"/>
      <w:r w:rsidRPr="00E96118">
        <w:lastRenderedPageBreak/>
        <w:t>B. VI.</w:t>
      </w:r>
      <w:r w:rsidR="002D6A2C" w:rsidRPr="00E96118">
        <w:t xml:space="preserve"> </w:t>
      </w:r>
      <w:r w:rsidRPr="00E96118">
        <w:t>Záchrana a obnova kulturních památek</w:t>
      </w:r>
      <w:r w:rsidR="00EA087B">
        <w:t>, veřejné služby muzeí</w:t>
      </w:r>
      <w:bookmarkEnd w:id="12"/>
    </w:p>
    <w:p w14:paraId="513478B9" w14:textId="77777777" w:rsidR="007901B8" w:rsidRPr="00F86015" w:rsidRDefault="00995864" w:rsidP="000F2057">
      <w:pPr>
        <w:rPr>
          <w:rFonts w:ascii="Times New Roman" w:hAnsi="Times New Roman"/>
          <w:sz w:val="20"/>
          <w:lang w:eastAsia="en-US"/>
        </w:rPr>
      </w:pPr>
      <w:r w:rsidRPr="000E5EF2">
        <w:rPr>
          <w:rFonts w:ascii="Times New Roman" w:hAnsi="Times New Roman"/>
          <w:lang w:eastAsia="en-US"/>
        </w:rPr>
        <w:tab/>
      </w:r>
      <w:r w:rsidRPr="000E5EF2">
        <w:rPr>
          <w:rFonts w:ascii="Times New Roman" w:hAnsi="Times New Roman"/>
          <w:lang w:eastAsia="en-US"/>
        </w:rPr>
        <w:tab/>
      </w:r>
      <w:r w:rsidRPr="000E5EF2">
        <w:rPr>
          <w:rFonts w:ascii="Times New Roman" w:hAnsi="Times New Roman"/>
          <w:lang w:eastAsia="en-US"/>
        </w:rPr>
        <w:tab/>
      </w:r>
      <w:r w:rsidRPr="000E5EF2">
        <w:rPr>
          <w:rFonts w:ascii="Times New Roman" w:hAnsi="Times New Roman"/>
          <w:lang w:eastAsia="en-US"/>
        </w:rPr>
        <w:tab/>
      </w:r>
      <w:r w:rsidRPr="000E5EF2">
        <w:rPr>
          <w:rFonts w:ascii="Times New Roman" w:hAnsi="Times New Roman"/>
          <w:lang w:eastAsia="en-US"/>
        </w:rPr>
        <w:tab/>
      </w:r>
      <w:r w:rsidRPr="000E5EF2">
        <w:rPr>
          <w:rFonts w:ascii="Times New Roman" w:hAnsi="Times New Roman"/>
          <w:lang w:eastAsia="en-US"/>
        </w:rPr>
        <w:tab/>
      </w:r>
      <w:r w:rsidRPr="000E5EF2">
        <w:rPr>
          <w:rFonts w:ascii="Times New Roman" w:hAnsi="Times New Roman"/>
          <w:lang w:eastAsia="en-US"/>
        </w:rPr>
        <w:tab/>
      </w:r>
      <w:r w:rsidRPr="000E5EF2">
        <w:rPr>
          <w:rFonts w:ascii="Times New Roman" w:hAnsi="Times New Roman"/>
          <w:lang w:eastAsia="en-US"/>
        </w:rPr>
        <w:tab/>
      </w:r>
      <w:r w:rsidRPr="000E5EF2">
        <w:rPr>
          <w:rFonts w:ascii="Times New Roman" w:hAnsi="Times New Roman"/>
          <w:lang w:eastAsia="en-US"/>
        </w:rPr>
        <w:tab/>
      </w:r>
      <w:r w:rsidRPr="000E5EF2">
        <w:rPr>
          <w:rFonts w:ascii="Times New Roman" w:hAnsi="Times New Roman"/>
          <w:lang w:eastAsia="en-US"/>
        </w:rPr>
        <w:tab/>
      </w:r>
      <w:r w:rsidRPr="000E5EF2">
        <w:rPr>
          <w:rFonts w:ascii="Times New Roman" w:hAnsi="Times New Roman"/>
          <w:lang w:eastAsia="en-US"/>
        </w:rPr>
        <w:tab/>
      </w:r>
      <w:r w:rsidRPr="000E5EF2">
        <w:rPr>
          <w:rFonts w:ascii="Times New Roman" w:hAnsi="Times New Roman"/>
          <w:lang w:eastAsia="en-US"/>
        </w:rPr>
        <w:tab/>
      </w:r>
      <w:r w:rsidRPr="00F86015">
        <w:rPr>
          <w:rFonts w:ascii="Times New Roman" w:hAnsi="Times New Roman"/>
          <w:sz w:val="20"/>
          <w:lang w:eastAsia="en-US"/>
        </w:rPr>
        <w:t>v</w:t>
      </w:r>
      <w:r w:rsidR="0088241E" w:rsidRPr="00F86015">
        <w:rPr>
          <w:rFonts w:ascii="Times New Roman" w:hAnsi="Times New Roman"/>
          <w:sz w:val="20"/>
          <w:lang w:eastAsia="en-US"/>
        </w:rPr>
        <w:t> </w:t>
      </w:r>
      <w:r w:rsidRPr="00F86015">
        <w:rPr>
          <w:rFonts w:ascii="Times New Roman" w:hAnsi="Times New Roman"/>
          <w:sz w:val="20"/>
          <w:lang w:eastAsia="en-US"/>
        </w:rPr>
        <w:t>Kč</w:t>
      </w:r>
    </w:p>
    <w:tbl>
      <w:tblPr>
        <w:tblW w:w="9087" w:type="dxa"/>
        <w:tblInd w:w="55" w:type="dxa"/>
        <w:tblCellMar>
          <w:left w:w="70" w:type="dxa"/>
          <w:right w:w="70" w:type="dxa"/>
        </w:tblCellMar>
        <w:tblLook w:val="04A0" w:firstRow="1" w:lastRow="0" w:firstColumn="1" w:lastColumn="0" w:noHBand="0" w:noVBand="1"/>
      </w:tblPr>
      <w:tblGrid>
        <w:gridCol w:w="400"/>
        <w:gridCol w:w="4293"/>
        <w:gridCol w:w="1418"/>
        <w:gridCol w:w="1417"/>
        <w:gridCol w:w="1559"/>
      </w:tblGrid>
      <w:tr w:rsidR="00015522" w:rsidRPr="000E5EF2" w14:paraId="513478BF" w14:textId="77777777" w:rsidTr="000E5EF2">
        <w:trPr>
          <w:trHeight w:val="600"/>
        </w:trPr>
        <w:tc>
          <w:tcPr>
            <w:tcW w:w="4693" w:type="dxa"/>
            <w:gridSpan w:val="2"/>
            <w:tcBorders>
              <w:top w:val="single" w:sz="12" w:space="0" w:color="auto"/>
              <w:left w:val="single" w:sz="12" w:space="0" w:color="auto"/>
              <w:bottom w:val="single" w:sz="12" w:space="0" w:color="auto"/>
              <w:right w:val="single" w:sz="8" w:space="0" w:color="000000"/>
            </w:tcBorders>
            <w:shd w:val="clear" w:color="auto" w:fill="auto"/>
            <w:vAlign w:val="center"/>
            <w:hideMark/>
          </w:tcPr>
          <w:p w14:paraId="513478BA" w14:textId="77777777" w:rsidR="00015522" w:rsidRPr="000E5EF2" w:rsidRDefault="00015522" w:rsidP="0088241E">
            <w:pPr>
              <w:spacing w:line="240" w:lineRule="auto"/>
              <w:jc w:val="center"/>
              <w:rPr>
                <w:rFonts w:ascii="Calibri" w:hAnsi="Calibri"/>
                <w:b/>
                <w:bCs/>
                <w:sz w:val="22"/>
                <w:szCs w:val="22"/>
              </w:rPr>
            </w:pPr>
            <w:r w:rsidRPr="000E5EF2">
              <w:rPr>
                <w:rFonts w:ascii="Calibri" w:hAnsi="Calibri"/>
                <w:b/>
                <w:bCs/>
                <w:sz w:val="22"/>
                <w:szCs w:val="22"/>
              </w:rPr>
              <w:t>Výdajový blok/okruh</w:t>
            </w:r>
          </w:p>
        </w:tc>
        <w:tc>
          <w:tcPr>
            <w:tcW w:w="1418" w:type="dxa"/>
            <w:tcBorders>
              <w:top w:val="single" w:sz="12" w:space="0" w:color="auto"/>
              <w:left w:val="nil"/>
              <w:bottom w:val="single" w:sz="12" w:space="0" w:color="auto"/>
              <w:right w:val="single" w:sz="8" w:space="0" w:color="auto"/>
            </w:tcBorders>
            <w:shd w:val="clear" w:color="auto" w:fill="auto"/>
            <w:vAlign w:val="center"/>
            <w:hideMark/>
          </w:tcPr>
          <w:p w14:paraId="513478BB"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SR 2015</w:t>
            </w:r>
          </w:p>
        </w:tc>
        <w:tc>
          <w:tcPr>
            <w:tcW w:w="1417" w:type="dxa"/>
            <w:tcBorders>
              <w:top w:val="single" w:sz="12" w:space="0" w:color="auto"/>
              <w:left w:val="nil"/>
              <w:bottom w:val="single" w:sz="12" w:space="0" w:color="auto"/>
              <w:right w:val="single" w:sz="8" w:space="0" w:color="auto"/>
            </w:tcBorders>
            <w:shd w:val="clear" w:color="auto" w:fill="auto"/>
            <w:vAlign w:val="center"/>
            <w:hideMark/>
          </w:tcPr>
          <w:p w14:paraId="513478BC"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2016</w:t>
            </w:r>
          </w:p>
        </w:tc>
        <w:tc>
          <w:tcPr>
            <w:tcW w:w="1559" w:type="dxa"/>
            <w:tcBorders>
              <w:top w:val="single" w:sz="12" w:space="0" w:color="auto"/>
              <w:left w:val="nil"/>
              <w:bottom w:val="single" w:sz="12" w:space="0" w:color="auto"/>
              <w:right w:val="single" w:sz="12" w:space="0" w:color="auto"/>
            </w:tcBorders>
            <w:shd w:val="clear" w:color="auto" w:fill="auto"/>
            <w:vAlign w:val="center"/>
            <w:hideMark/>
          </w:tcPr>
          <w:p w14:paraId="513478BD"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 xml:space="preserve"> Rozdíl</w:t>
            </w:r>
          </w:p>
          <w:p w14:paraId="513478BE"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16 -SR 15</w:t>
            </w:r>
          </w:p>
        </w:tc>
      </w:tr>
      <w:tr w:rsidR="000E5EF2" w:rsidRPr="000E5EF2" w14:paraId="513478C4" w14:textId="77777777" w:rsidTr="000E5EF2">
        <w:trPr>
          <w:trHeight w:val="636"/>
        </w:trPr>
        <w:tc>
          <w:tcPr>
            <w:tcW w:w="4693" w:type="dxa"/>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513478C0" w14:textId="77777777" w:rsidR="0088241E" w:rsidRPr="000E5EF2" w:rsidRDefault="0088241E" w:rsidP="0088241E">
            <w:pPr>
              <w:spacing w:line="240" w:lineRule="auto"/>
              <w:jc w:val="left"/>
              <w:rPr>
                <w:rFonts w:ascii="Calibri" w:hAnsi="Calibri"/>
                <w:sz w:val="22"/>
                <w:szCs w:val="22"/>
              </w:rPr>
            </w:pPr>
            <w:r w:rsidRPr="000E5EF2">
              <w:rPr>
                <w:rFonts w:ascii="Calibri" w:hAnsi="Calibri"/>
                <w:sz w:val="22"/>
                <w:szCs w:val="22"/>
              </w:rPr>
              <w:t>Záchrana a obnova kulturních památek</w:t>
            </w:r>
            <w:r w:rsidR="001968CD">
              <w:rPr>
                <w:rFonts w:ascii="Calibri" w:hAnsi="Calibri"/>
                <w:sz w:val="22"/>
                <w:szCs w:val="22"/>
              </w:rPr>
              <w:t>, veřejné služby muzeí</w:t>
            </w:r>
          </w:p>
        </w:tc>
        <w:tc>
          <w:tcPr>
            <w:tcW w:w="1418" w:type="dxa"/>
            <w:tcBorders>
              <w:top w:val="nil"/>
              <w:left w:val="nil"/>
              <w:bottom w:val="single" w:sz="8" w:space="0" w:color="auto"/>
              <w:right w:val="single" w:sz="8" w:space="0" w:color="auto"/>
            </w:tcBorders>
            <w:shd w:val="clear" w:color="auto" w:fill="auto"/>
            <w:vAlign w:val="center"/>
            <w:hideMark/>
          </w:tcPr>
          <w:p w14:paraId="513478C1" w14:textId="77777777" w:rsidR="0088241E" w:rsidRPr="000E5EF2" w:rsidRDefault="0088241E" w:rsidP="0088241E">
            <w:pPr>
              <w:spacing w:line="240" w:lineRule="auto"/>
              <w:jc w:val="right"/>
              <w:rPr>
                <w:rFonts w:ascii="Calibri" w:hAnsi="Calibri"/>
                <w:sz w:val="22"/>
                <w:szCs w:val="22"/>
              </w:rPr>
            </w:pPr>
            <w:r w:rsidRPr="000E5EF2">
              <w:rPr>
                <w:rFonts w:ascii="Calibri" w:hAnsi="Calibri"/>
                <w:sz w:val="22"/>
                <w:szCs w:val="22"/>
              </w:rPr>
              <w:t>532 159 000</w:t>
            </w:r>
          </w:p>
        </w:tc>
        <w:tc>
          <w:tcPr>
            <w:tcW w:w="1417" w:type="dxa"/>
            <w:tcBorders>
              <w:top w:val="nil"/>
              <w:left w:val="nil"/>
              <w:bottom w:val="single" w:sz="8" w:space="0" w:color="auto"/>
              <w:right w:val="single" w:sz="8" w:space="0" w:color="auto"/>
            </w:tcBorders>
            <w:shd w:val="clear" w:color="auto" w:fill="auto"/>
            <w:vAlign w:val="center"/>
            <w:hideMark/>
          </w:tcPr>
          <w:p w14:paraId="513478C2" w14:textId="77777777" w:rsidR="0088241E" w:rsidRPr="000E5EF2" w:rsidRDefault="0088241E" w:rsidP="0088241E">
            <w:pPr>
              <w:spacing w:line="240" w:lineRule="auto"/>
              <w:jc w:val="right"/>
              <w:rPr>
                <w:rFonts w:ascii="Calibri" w:hAnsi="Calibri"/>
                <w:sz w:val="22"/>
                <w:szCs w:val="22"/>
              </w:rPr>
            </w:pPr>
            <w:r w:rsidRPr="000E5EF2">
              <w:rPr>
                <w:rFonts w:ascii="Calibri" w:hAnsi="Calibri"/>
                <w:sz w:val="22"/>
                <w:szCs w:val="22"/>
              </w:rPr>
              <w:t>711 000 000</w:t>
            </w:r>
          </w:p>
        </w:tc>
        <w:tc>
          <w:tcPr>
            <w:tcW w:w="1559" w:type="dxa"/>
            <w:tcBorders>
              <w:top w:val="nil"/>
              <w:left w:val="nil"/>
              <w:bottom w:val="single" w:sz="8" w:space="0" w:color="auto"/>
              <w:right w:val="single" w:sz="12" w:space="0" w:color="auto"/>
            </w:tcBorders>
            <w:shd w:val="clear" w:color="auto" w:fill="auto"/>
            <w:vAlign w:val="center"/>
            <w:hideMark/>
          </w:tcPr>
          <w:p w14:paraId="513478C3" w14:textId="77777777" w:rsidR="0088241E" w:rsidRPr="000E5EF2" w:rsidRDefault="0088241E" w:rsidP="0088241E">
            <w:pPr>
              <w:spacing w:line="240" w:lineRule="auto"/>
              <w:jc w:val="right"/>
              <w:rPr>
                <w:rFonts w:ascii="Calibri" w:hAnsi="Calibri"/>
                <w:sz w:val="22"/>
                <w:szCs w:val="22"/>
              </w:rPr>
            </w:pPr>
            <w:r w:rsidRPr="000E5EF2">
              <w:rPr>
                <w:rFonts w:ascii="Calibri" w:hAnsi="Calibri"/>
                <w:sz w:val="22"/>
                <w:szCs w:val="22"/>
              </w:rPr>
              <w:t>178 841 000</w:t>
            </w:r>
          </w:p>
        </w:tc>
      </w:tr>
      <w:tr w:rsidR="000E5EF2" w:rsidRPr="000E5EF2" w14:paraId="513478CA" w14:textId="77777777" w:rsidTr="000E5EF2">
        <w:trPr>
          <w:trHeight w:val="816"/>
        </w:trPr>
        <w:tc>
          <w:tcPr>
            <w:tcW w:w="400" w:type="dxa"/>
            <w:tcBorders>
              <w:top w:val="nil"/>
              <w:left w:val="single" w:sz="12" w:space="0" w:color="auto"/>
              <w:bottom w:val="single" w:sz="8" w:space="0" w:color="auto"/>
              <w:right w:val="single" w:sz="8" w:space="0" w:color="auto"/>
            </w:tcBorders>
            <w:shd w:val="clear" w:color="auto" w:fill="auto"/>
            <w:vAlign w:val="center"/>
            <w:hideMark/>
          </w:tcPr>
          <w:p w14:paraId="513478C5" w14:textId="77777777" w:rsidR="0088241E" w:rsidRPr="000E5EF2" w:rsidRDefault="0088241E" w:rsidP="0088241E">
            <w:pPr>
              <w:spacing w:line="240" w:lineRule="auto"/>
              <w:jc w:val="left"/>
              <w:rPr>
                <w:rFonts w:ascii="Calibri" w:hAnsi="Calibri"/>
                <w:sz w:val="22"/>
                <w:szCs w:val="22"/>
              </w:rPr>
            </w:pPr>
            <w:r w:rsidRPr="000E5EF2">
              <w:rPr>
                <w:rFonts w:ascii="Calibri" w:hAnsi="Calibri"/>
                <w:sz w:val="22"/>
                <w:szCs w:val="22"/>
              </w:rPr>
              <w:t>a)</w:t>
            </w:r>
          </w:p>
        </w:tc>
        <w:tc>
          <w:tcPr>
            <w:tcW w:w="4293" w:type="dxa"/>
            <w:tcBorders>
              <w:top w:val="nil"/>
              <w:left w:val="nil"/>
              <w:bottom w:val="single" w:sz="8" w:space="0" w:color="auto"/>
              <w:right w:val="single" w:sz="8" w:space="0" w:color="auto"/>
            </w:tcBorders>
            <w:shd w:val="clear" w:color="auto" w:fill="auto"/>
            <w:vAlign w:val="center"/>
            <w:hideMark/>
          </w:tcPr>
          <w:p w14:paraId="513478C6" w14:textId="77777777" w:rsidR="0088241E" w:rsidRPr="000E5EF2" w:rsidRDefault="0088241E" w:rsidP="000E5EF2">
            <w:pPr>
              <w:spacing w:line="240" w:lineRule="auto"/>
              <w:jc w:val="left"/>
              <w:rPr>
                <w:rFonts w:ascii="Calibri" w:hAnsi="Calibri"/>
                <w:sz w:val="22"/>
                <w:szCs w:val="22"/>
              </w:rPr>
            </w:pPr>
            <w:r w:rsidRPr="000E5EF2">
              <w:rPr>
                <w:rFonts w:ascii="Calibri" w:hAnsi="Calibri"/>
                <w:sz w:val="22"/>
                <w:szCs w:val="22"/>
              </w:rPr>
              <w:t xml:space="preserve">Program podpory veřejných </w:t>
            </w:r>
            <w:r w:rsidR="00694EA0" w:rsidRPr="000E5EF2">
              <w:rPr>
                <w:rFonts w:ascii="Calibri" w:hAnsi="Calibri"/>
                <w:sz w:val="22"/>
                <w:szCs w:val="22"/>
              </w:rPr>
              <w:t>služeb</w:t>
            </w:r>
            <w:r w:rsidRPr="000E5EF2">
              <w:rPr>
                <w:rFonts w:ascii="Calibri" w:hAnsi="Calibri"/>
                <w:sz w:val="22"/>
                <w:szCs w:val="22"/>
              </w:rPr>
              <w:t xml:space="preserve"> v</w:t>
            </w:r>
            <w:r w:rsidR="000E5EF2">
              <w:rPr>
                <w:rFonts w:ascii="Calibri" w:hAnsi="Calibri"/>
                <w:sz w:val="22"/>
                <w:szCs w:val="22"/>
              </w:rPr>
              <w:t> </w:t>
            </w:r>
            <w:r w:rsidRPr="000E5EF2">
              <w:rPr>
                <w:rFonts w:ascii="Calibri" w:hAnsi="Calibri"/>
                <w:sz w:val="22"/>
                <w:szCs w:val="22"/>
              </w:rPr>
              <w:t>muzeích (v r. 2015 název Integrovaný systém ochrany movitého kulturního dědictví)</w:t>
            </w:r>
          </w:p>
        </w:tc>
        <w:tc>
          <w:tcPr>
            <w:tcW w:w="1418" w:type="dxa"/>
            <w:tcBorders>
              <w:top w:val="nil"/>
              <w:left w:val="nil"/>
              <w:bottom w:val="single" w:sz="8" w:space="0" w:color="auto"/>
              <w:right w:val="single" w:sz="8" w:space="0" w:color="auto"/>
            </w:tcBorders>
            <w:shd w:val="clear" w:color="auto" w:fill="auto"/>
            <w:vAlign w:val="center"/>
            <w:hideMark/>
          </w:tcPr>
          <w:p w14:paraId="513478C7" w14:textId="77777777" w:rsidR="0088241E" w:rsidRPr="000E5EF2" w:rsidRDefault="0088241E" w:rsidP="0088241E">
            <w:pPr>
              <w:spacing w:line="240" w:lineRule="auto"/>
              <w:jc w:val="right"/>
              <w:rPr>
                <w:rFonts w:ascii="Calibri" w:hAnsi="Calibri"/>
                <w:sz w:val="22"/>
                <w:szCs w:val="22"/>
              </w:rPr>
            </w:pPr>
            <w:r w:rsidRPr="000E5EF2">
              <w:rPr>
                <w:rFonts w:ascii="Calibri" w:hAnsi="Calibri"/>
                <w:sz w:val="22"/>
                <w:szCs w:val="22"/>
              </w:rPr>
              <w:t>22 159 000</w:t>
            </w:r>
          </w:p>
        </w:tc>
        <w:tc>
          <w:tcPr>
            <w:tcW w:w="1417" w:type="dxa"/>
            <w:tcBorders>
              <w:top w:val="nil"/>
              <w:left w:val="nil"/>
              <w:bottom w:val="single" w:sz="8" w:space="0" w:color="auto"/>
              <w:right w:val="single" w:sz="8" w:space="0" w:color="auto"/>
            </w:tcBorders>
            <w:shd w:val="clear" w:color="auto" w:fill="auto"/>
            <w:vAlign w:val="center"/>
            <w:hideMark/>
          </w:tcPr>
          <w:p w14:paraId="513478C8" w14:textId="77777777" w:rsidR="0088241E" w:rsidRPr="000E5EF2" w:rsidRDefault="0088241E" w:rsidP="0088241E">
            <w:pPr>
              <w:spacing w:line="240" w:lineRule="auto"/>
              <w:jc w:val="right"/>
              <w:rPr>
                <w:rFonts w:ascii="Calibri" w:hAnsi="Calibri"/>
                <w:sz w:val="22"/>
                <w:szCs w:val="22"/>
              </w:rPr>
            </w:pPr>
            <w:r w:rsidRPr="000E5EF2">
              <w:rPr>
                <w:rFonts w:ascii="Calibri" w:hAnsi="Calibri"/>
                <w:sz w:val="22"/>
                <w:szCs w:val="22"/>
              </w:rPr>
              <w:t>53 000 000</w:t>
            </w:r>
          </w:p>
        </w:tc>
        <w:tc>
          <w:tcPr>
            <w:tcW w:w="1559" w:type="dxa"/>
            <w:tcBorders>
              <w:top w:val="nil"/>
              <w:left w:val="nil"/>
              <w:bottom w:val="single" w:sz="8" w:space="0" w:color="auto"/>
              <w:right w:val="single" w:sz="12" w:space="0" w:color="auto"/>
            </w:tcBorders>
            <w:shd w:val="clear" w:color="auto" w:fill="auto"/>
            <w:vAlign w:val="center"/>
            <w:hideMark/>
          </w:tcPr>
          <w:p w14:paraId="513478C9" w14:textId="77777777" w:rsidR="0088241E" w:rsidRPr="000E5EF2" w:rsidRDefault="0088241E" w:rsidP="0088241E">
            <w:pPr>
              <w:spacing w:line="240" w:lineRule="auto"/>
              <w:jc w:val="right"/>
              <w:rPr>
                <w:rFonts w:ascii="Calibri" w:hAnsi="Calibri"/>
                <w:sz w:val="22"/>
                <w:szCs w:val="22"/>
              </w:rPr>
            </w:pPr>
            <w:r w:rsidRPr="000E5EF2">
              <w:rPr>
                <w:rFonts w:ascii="Calibri" w:hAnsi="Calibri"/>
                <w:sz w:val="22"/>
                <w:szCs w:val="22"/>
              </w:rPr>
              <w:t>30 841 000</w:t>
            </w:r>
          </w:p>
        </w:tc>
      </w:tr>
      <w:tr w:rsidR="000E5EF2" w:rsidRPr="000E5EF2" w14:paraId="513478D0" w14:textId="77777777" w:rsidTr="000E5EF2">
        <w:trPr>
          <w:trHeight w:val="588"/>
        </w:trPr>
        <w:tc>
          <w:tcPr>
            <w:tcW w:w="400" w:type="dxa"/>
            <w:tcBorders>
              <w:top w:val="nil"/>
              <w:left w:val="single" w:sz="12" w:space="0" w:color="auto"/>
              <w:bottom w:val="single" w:sz="12" w:space="0" w:color="auto"/>
              <w:right w:val="single" w:sz="8" w:space="0" w:color="auto"/>
            </w:tcBorders>
            <w:shd w:val="clear" w:color="auto" w:fill="auto"/>
            <w:vAlign w:val="center"/>
            <w:hideMark/>
          </w:tcPr>
          <w:p w14:paraId="513478CB" w14:textId="77777777" w:rsidR="0088241E" w:rsidRPr="000E5EF2" w:rsidRDefault="0088241E" w:rsidP="0088241E">
            <w:pPr>
              <w:spacing w:line="240" w:lineRule="auto"/>
              <w:jc w:val="left"/>
              <w:rPr>
                <w:rFonts w:ascii="Calibri" w:hAnsi="Calibri"/>
                <w:sz w:val="22"/>
                <w:szCs w:val="22"/>
              </w:rPr>
            </w:pPr>
            <w:r w:rsidRPr="000E5EF2">
              <w:rPr>
                <w:rFonts w:ascii="Calibri" w:hAnsi="Calibri"/>
                <w:sz w:val="22"/>
                <w:szCs w:val="22"/>
              </w:rPr>
              <w:t>b)</w:t>
            </w:r>
          </w:p>
        </w:tc>
        <w:tc>
          <w:tcPr>
            <w:tcW w:w="4293" w:type="dxa"/>
            <w:tcBorders>
              <w:top w:val="nil"/>
              <w:left w:val="nil"/>
              <w:bottom w:val="single" w:sz="12" w:space="0" w:color="auto"/>
              <w:right w:val="single" w:sz="8" w:space="0" w:color="auto"/>
            </w:tcBorders>
            <w:shd w:val="clear" w:color="auto" w:fill="auto"/>
            <w:vAlign w:val="center"/>
            <w:hideMark/>
          </w:tcPr>
          <w:p w14:paraId="513478CC" w14:textId="77777777" w:rsidR="0088241E" w:rsidRPr="000E5EF2" w:rsidRDefault="0088241E" w:rsidP="0088241E">
            <w:pPr>
              <w:spacing w:line="240" w:lineRule="auto"/>
              <w:jc w:val="left"/>
              <w:rPr>
                <w:rFonts w:ascii="Calibri" w:hAnsi="Calibri"/>
                <w:sz w:val="22"/>
                <w:szCs w:val="22"/>
              </w:rPr>
            </w:pPr>
            <w:r w:rsidRPr="000E5EF2">
              <w:rPr>
                <w:rFonts w:ascii="Calibri" w:hAnsi="Calibri"/>
                <w:sz w:val="22"/>
                <w:szCs w:val="22"/>
              </w:rPr>
              <w:t>Programy na záchranu a obnovu kulturních památek</w:t>
            </w:r>
          </w:p>
        </w:tc>
        <w:tc>
          <w:tcPr>
            <w:tcW w:w="1418" w:type="dxa"/>
            <w:tcBorders>
              <w:top w:val="nil"/>
              <w:left w:val="nil"/>
              <w:bottom w:val="single" w:sz="12" w:space="0" w:color="auto"/>
              <w:right w:val="single" w:sz="8" w:space="0" w:color="auto"/>
            </w:tcBorders>
            <w:shd w:val="clear" w:color="auto" w:fill="auto"/>
            <w:vAlign w:val="center"/>
            <w:hideMark/>
          </w:tcPr>
          <w:p w14:paraId="513478CD" w14:textId="77777777" w:rsidR="0088241E" w:rsidRPr="000E5EF2" w:rsidRDefault="0088241E" w:rsidP="0088241E">
            <w:pPr>
              <w:spacing w:line="240" w:lineRule="auto"/>
              <w:jc w:val="right"/>
              <w:rPr>
                <w:rFonts w:ascii="Calibri" w:hAnsi="Calibri"/>
                <w:sz w:val="22"/>
                <w:szCs w:val="22"/>
              </w:rPr>
            </w:pPr>
            <w:r w:rsidRPr="000E5EF2">
              <w:rPr>
                <w:rFonts w:ascii="Calibri" w:hAnsi="Calibri"/>
                <w:sz w:val="22"/>
                <w:szCs w:val="22"/>
              </w:rPr>
              <w:t>510 000 000</w:t>
            </w:r>
          </w:p>
        </w:tc>
        <w:tc>
          <w:tcPr>
            <w:tcW w:w="1417" w:type="dxa"/>
            <w:tcBorders>
              <w:top w:val="nil"/>
              <w:left w:val="nil"/>
              <w:bottom w:val="single" w:sz="12" w:space="0" w:color="auto"/>
              <w:right w:val="single" w:sz="8" w:space="0" w:color="auto"/>
            </w:tcBorders>
            <w:shd w:val="clear" w:color="auto" w:fill="auto"/>
            <w:vAlign w:val="center"/>
            <w:hideMark/>
          </w:tcPr>
          <w:p w14:paraId="513478CE" w14:textId="77777777" w:rsidR="0088241E" w:rsidRPr="000E5EF2" w:rsidRDefault="0088241E" w:rsidP="0088241E">
            <w:pPr>
              <w:spacing w:line="240" w:lineRule="auto"/>
              <w:jc w:val="right"/>
              <w:rPr>
                <w:rFonts w:ascii="Calibri" w:hAnsi="Calibri"/>
                <w:sz w:val="22"/>
                <w:szCs w:val="22"/>
              </w:rPr>
            </w:pPr>
            <w:r w:rsidRPr="000E5EF2">
              <w:rPr>
                <w:rFonts w:ascii="Calibri" w:hAnsi="Calibri"/>
                <w:sz w:val="22"/>
                <w:szCs w:val="22"/>
              </w:rPr>
              <w:t>658 000 000</w:t>
            </w:r>
          </w:p>
        </w:tc>
        <w:tc>
          <w:tcPr>
            <w:tcW w:w="1559" w:type="dxa"/>
            <w:tcBorders>
              <w:top w:val="nil"/>
              <w:left w:val="nil"/>
              <w:bottom w:val="single" w:sz="12" w:space="0" w:color="auto"/>
              <w:right w:val="single" w:sz="12" w:space="0" w:color="auto"/>
            </w:tcBorders>
            <w:shd w:val="clear" w:color="auto" w:fill="auto"/>
            <w:vAlign w:val="center"/>
            <w:hideMark/>
          </w:tcPr>
          <w:p w14:paraId="513478CF" w14:textId="77777777" w:rsidR="0088241E" w:rsidRPr="000E5EF2" w:rsidRDefault="0088241E" w:rsidP="0088241E">
            <w:pPr>
              <w:spacing w:line="240" w:lineRule="auto"/>
              <w:jc w:val="right"/>
              <w:rPr>
                <w:rFonts w:ascii="Calibri" w:hAnsi="Calibri"/>
                <w:sz w:val="22"/>
                <w:szCs w:val="22"/>
              </w:rPr>
            </w:pPr>
            <w:r w:rsidRPr="000E5EF2">
              <w:rPr>
                <w:rFonts w:ascii="Calibri" w:hAnsi="Calibri"/>
                <w:sz w:val="22"/>
                <w:szCs w:val="22"/>
              </w:rPr>
              <w:t>148 000 000</w:t>
            </w:r>
          </w:p>
        </w:tc>
      </w:tr>
    </w:tbl>
    <w:p w14:paraId="513478D1" w14:textId="77777777" w:rsidR="0088241E" w:rsidRDefault="0088241E" w:rsidP="000F2057">
      <w:pPr>
        <w:rPr>
          <w:rFonts w:ascii="Times New Roman" w:hAnsi="Times New Roman"/>
          <w:lang w:eastAsia="en-US"/>
        </w:rPr>
      </w:pPr>
    </w:p>
    <w:p w14:paraId="513478D2" w14:textId="77777777" w:rsidR="007901B8" w:rsidRPr="00065049" w:rsidRDefault="007901B8" w:rsidP="006C7B8E">
      <w:pPr>
        <w:rPr>
          <w:rFonts w:ascii="Times New Roman" w:hAnsi="Times New Roman"/>
          <w:b/>
        </w:rPr>
      </w:pPr>
      <w:r w:rsidRPr="00065049">
        <w:rPr>
          <w:rFonts w:ascii="Times New Roman" w:hAnsi="Times New Roman"/>
          <w:b/>
        </w:rPr>
        <w:t>a)</w:t>
      </w:r>
      <w:r w:rsidRPr="00065049">
        <w:rPr>
          <w:rFonts w:ascii="Times New Roman" w:hAnsi="Times New Roman"/>
          <w:b/>
        </w:rPr>
        <w:tab/>
      </w:r>
      <w:r w:rsidR="003E4200" w:rsidRPr="00065049">
        <w:rPr>
          <w:rFonts w:ascii="Times New Roman" w:hAnsi="Times New Roman"/>
          <w:b/>
        </w:rPr>
        <w:t>Programy podpory veřejných služeb v muzeích</w:t>
      </w:r>
      <w:r w:rsidR="003E4200" w:rsidRPr="00065049">
        <w:rPr>
          <w:rFonts w:ascii="Times New Roman" w:hAnsi="Times New Roman"/>
          <w:b/>
        </w:rPr>
        <w:tab/>
      </w:r>
      <w:r w:rsidR="003E4200" w:rsidRPr="00065049">
        <w:rPr>
          <w:rFonts w:ascii="Times New Roman" w:hAnsi="Times New Roman"/>
          <w:b/>
        </w:rPr>
        <w:tab/>
      </w:r>
      <w:r w:rsidR="00963BC5" w:rsidRPr="00065049">
        <w:rPr>
          <w:rFonts w:ascii="Times New Roman" w:hAnsi="Times New Roman"/>
          <w:b/>
        </w:rPr>
        <w:tab/>
      </w:r>
      <w:r w:rsidR="00386A2C" w:rsidRPr="00065049">
        <w:rPr>
          <w:rFonts w:ascii="Times New Roman" w:hAnsi="Times New Roman"/>
          <w:b/>
        </w:rPr>
        <w:t>   </w:t>
      </w:r>
      <w:r w:rsidR="00963BC5" w:rsidRPr="00065049">
        <w:rPr>
          <w:rFonts w:ascii="Times New Roman" w:hAnsi="Times New Roman"/>
          <w:b/>
        </w:rPr>
        <w:t>  </w:t>
      </w:r>
      <w:r w:rsidR="0088241E" w:rsidRPr="00065049">
        <w:rPr>
          <w:rFonts w:ascii="Times New Roman" w:hAnsi="Times New Roman"/>
          <w:b/>
        </w:rPr>
        <w:t>53</w:t>
      </w:r>
      <w:r w:rsidR="00BE252A" w:rsidRPr="00065049">
        <w:rPr>
          <w:rFonts w:ascii="Times New Roman" w:hAnsi="Times New Roman"/>
          <w:b/>
        </w:rPr>
        <w:t> 000 000</w:t>
      </w:r>
      <w:r w:rsidRPr="00065049">
        <w:rPr>
          <w:rFonts w:ascii="Times New Roman" w:hAnsi="Times New Roman"/>
          <w:b/>
        </w:rPr>
        <w:t> Kč</w:t>
      </w:r>
    </w:p>
    <w:p w14:paraId="513478D3" w14:textId="77777777" w:rsidR="003E4200" w:rsidRPr="006265C8" w:rsidRDefault="008178EB" w:rsidP="00A06F71">
      <w:pPr>
        <w:pStyle w:val="Zhlav"/>
        <w:rPr>
          <w:rFonts w:ascii="Times New Roman" w:hAnsi="Times New Roman"/>
        </w:rPr>
      </w:pPr>
      <w:r w:rsidRPr="00065049">
        <w:rPr>
          <w:rFonts w:ascii="Times New Roman" w:hAnsi="Times New Roman"/>
        </w:rPr>
        <w:t xml:space="preserve">Ve srovnání s rozpočtem roku 2015 je </w:t>
      </w:r>
      <w:r w:rsidR="00D47A82">
        <w:rPr>
          <w:rFonts w:ascii="Times New Roman" w:hAnsi="Times New Roman"/>
        </w:rPr>
        <w:t xml:space="preserve">schválený </w:t>
      </w:r>
      <w:r w:rsidRPr="00065049">
        <w:rPr>
          <w:rFonts w:ascii="Times New Roman" w:hAnsi="Times New Roman"/>
        </w:rPr>
        <w:t>rozpoč</w:t>
      </w:r>
      <w:r w:rsidR="00D47A82">
        <w:rPr>
          <w:rFonts w:ascii="Times New Roman" w:hAnsi="Times New Roman"/>
        </w:rPr>
        <w:t>e</w:t>
      </w:r>
      <w:r w:rsidRPr="00065049">
        <w:rPr>
          <w:rFonts w:ascii="Times New Roman" w:hAnsi="Times New Roman"/>
        </w:rPr>
        <w:t xml:space="preserve">t na rok 2016 o </w:t>
      </w:r>
      <w:r w:rsidR="0088241E" w:rsidRPr="00065049">
        <w:rPr>
          <w:rFonts w:ascii="Times New Roman" w:hAnsi="Times New Roman"/>
        </w:rPr>
        <w:t>30 841</w:t>
      </w:r>
      <w:r w:rsidRPr="00065049">
        <w:rPr>
          <w:rFonts w:ascii="Times New Roman" w:hAnsi="Times New Roman"/>
        </w:rPr>
        <w:t xml:space="preserve"> tis. Kč </w:t>
      </w:r>
      <w:r w:rsidR="0088241E" w:rsidRPr="00065049">
        <w:rPr>
          <w:rFonts w:ascii="Times New Roman" w:hAnsi="Times New Roman"/>
        </w:rPr>
        <w:t>vyšší</w:t>
      </w:r>
      <w:r w:rsidRPr="00065049">
        <w:rPr>
          <w:rFonts w:ascii="Times New Roman" w:hAnsi="Times New Roman"/>
        </w:rPr>
        <w:t>.</w:t>
      </w:r>
      <w:r w:rsidR="002512D9">
        <w:rPr>
          <w:rFonts w:ascii="Times New Roman" w:hAnsi="Times New Roman"/>
        </w:rPr>
        <w:t xml:space="preserve"> </w:t>
      </w:r>
      <w:r w:rsidR="002512D9" w:rsidRPr="006265C8">
        <w:rPr>
          <w:rFonts w:ascii="Times New Roman" w:hAnsi="Times New Roman"/>
        </w:rPr>
        <w:t xml:space="preserve">Rozpočtová množina s názvem Podpora veřejných služeb v muzeích byla do rozpočtu zařazena s platností od roku 2016. </w:t>
      </w:r>
    </w:p>
    <w:p w14:paraId="513478D4" w14:textId="77777777" w:rsidR="003E4200" w:rsidRPr="00065049" w:rsidRDefault="003E4200" w:rsidP="00127772">
      <w:pPr>
        <w:pStyle w:val="Zhlav"/>
        <w:spacing w:before="120" w:after="120"/>
        <w:rPr>
          <w:rFonts w:ascii="Times New Roman" w:hAnsi="Times New Roman"/>
          <w:u w:val="single"/>
        </w:rPr>
      </w:pPr>
      <w:r w:rsidRPr="00065049">
        <w:rPr>
          <w:rFonts w:ascii="Times New Roman" w:hAnsi="Times New Roman"/>
          <w:u w:val="single"/>
        </w:rPr>
        <w:t>Podpora veřejných služeb v muzeích</w:t>
      </w:r>
      <w:r w:rsidRPr="00065049">
        <w:rPr>
          <w:rFonts w:ascii="Times New Roman" w:hAnsi="Times New Roman"/>
          <w:u w:val="single"/>
        </w:rPr>
        <w:tab/>
      </w:r>
      <w:r w:rsidRPr="00065049">
        <w:rPr>
          <w:rFonts w:ascii="Times New Roman" w:hAnsi="Times New Roman"/>
          <w:u w:val="single"/>
        </w:rPr>
        <w:tab/>
      </w:r>
      <w:r w:rsidR="00F95EC0" w:rsidRPr="00065049">
        <w:rPr>
          <w:rFonts w:ascii="Times New Roman" w:hAnsi="Times New Roman"/>
          <w:b/>
          <w:u w:val="single"/>
        </w:rPr>
        <w:t>         </w:t>
      </w:r>
      <w:r w:rsidR="00F95EC0" w:rsidRPr="00065049">
        <w:rPr>
          <w:rFonts w:ascii="Times New Roman" w:hAnsi="Times New Roman"/>
          <w:u w:val="single"/>
        </w:rPr>
        <w:t>11 000 000 Kč</w:t>
      </w:r>
    </w:p>
    <w:p w14:paraId="513478D5" w14:textId="77777777" w:rsidR="00A94207" w:rsidRPr="00065049" w:rsidRDefault="003E4200" w:rsidP="00127772">
      <w:pPr>
        <w:spacing w:after="120" w:line="240" w:lineRule="auto"/>
        <w:rPr>
          <w:rFonts w:ascii="Times New Roman" w:hAnsi="Times New Roman"/>
          <w:i/>
        </w:rPr>
      </w:pPr>
      <w:r w:rsidRPr="00065049">
        <w:rPr>
          <w:rFonts w:ascii="Times New Roman" w:hAnsi="Times New Roman"/>
          <w:i/>
        </w:rPr>
        <w:t>Podpora standardizovaných veřejných služeb muzeí a galerií</w:t>
      </w:r>
      <w:r w:rsidRPr="00065049">
        <w:rPr>
          <w:rFonts w:ascii="Times New Roman" w:hAnsi="Times New Roman"/>
          <w:i/>
        </w:rPr>
        <w:tab/>
      </w:r>
      <w:r w:rsidRPr="00065049">
        <w:rPr>
          <w:rFonts w:ascii="Times New Roman" w:hAnsi="Times New Roman"/>
          <w:i/>
        </w:rPr>
        <w:tab/>
      </w:r>
      <w:r w:rsidR="00A94207" w:rsidRPr="00065049">
        <w:rPr>
          <w:rFonts w:ascii="Times New Roman" w:hAnsi="Times New Roman"/>
          <w:i/>
        </w:rPr>
        <w:t>  </w:t>
      </w:r>
      <w:r w:rsidR="002512D9">
        <w:rPr>
          <w:rFonts w:ascii="Times New Roman" w:hAnsi="Times New Roman"/>
          <w:i/>
        </w:rPr>
        <w:t xml:space="preserve"> </w:t>
      </w:r>
      <w:r w:rsidR="00A94207" w:rsidRPr="00065049">
        <w:rPr>
          <w:rFonts w:ascii="Times New Roman" w:hAnsi="Times New Roman"/>
          <w:i/>
        </w:rPr>
        <w:t>      </w:t>
      </w:r>
      <w:r w:rsidR="002512D9">
        <w:rPr>
          <w:rFonts w:ascii="Times New Roman" w:hAnsi="Times New Roman"/>
          <w:i/>
        </w:rPr>
        <w:t xml:space="preserve">  </w:t>
      </w:r>
      <w:r w:rsidR="00A94207" w:rsidRPr="00065049">
        <w:rPr>
          <w:rFonts w:ascii="Times New Roman" w:hAnsi="Times New Roman"/>
          <w:i/>
        </w:rPr>
        <w:t>1 500 000 Kč</w:t>
      </w:r>
    </w:p>
    <w:p w14:paraId="513478D6" w14:textId="77777777" w:rsidR="00967348" w:rsidRPr="00065049" w:rsidRDefault="00967348" w:rsidP="000F6720">
      <w:pPr>
        <w:spacing w:before="120" w:line="240" w:lineRule="auto"/>
        <w:rPr>
          <w:rFonts w:ascii="Times New Roman" w:hAnsi="Times New Roman"/>
        </w:rPr>
      </w:pPr>
      <w:r w:rsidRPr="00065049">
        <w:rPr>
          <w:rFonts w:ascii="Times New Roman" w:hAnsi="Times New Roman"/>
        </w:rPr>
        <w:t xml:space="preserve">Podle ustanovení § 10a odst. 2 zákona č. 122/2000 Sb., mají být každoročně na základě výběrového dotačního řízení poskytovány ze státního rozpočtu dotace na projekty zaměřené na naplňování standardu časové dostupnosti vybraných veřejných služeb, kterým je </w:t>
      </w:r>
      <w:r w:rsidRPr="00065049">
        <w:rPr>
          <w:rFonts w:ascii="Times New Roman" w:hAnsi="Times New Roman"/>
          <w:bCs/>
        </w:rPr>
        <w:t xml:space="preserve">poskytování informací o sbírkách, které poskytovatelé standardizovaných veřejných služeb spravují, ve smyslu ustanovení § 10a odst. 2 písm. d) zákona. </w:t>
      </w:r>
      <w:r w:rsidRPr="00065049">
        <w:rPr>
          <w:rFonts w:ascii="Times New Roman" w:hAnsi="Times New Roman"/>
        </w:rPr>
        <w:t xml:space="preserve">Dotační řízení se vypisuje pro garanty poskytování standardizovaných veřejných služeb, jimiž jsou, podle ustanovení </w:t>
      </w:r>
      <w:r w:rsidR="006B021E" w:rsidRPr="00065049">
        <w:rPr>
          <w:rFonts w:ascii="Times New Roman" w:hAnsi="Times New Roman"/>
        </w:rPr>
        <w:br/>
      </w:r>
      <w:r w:rsidRPr="00065049">
        <w:rPr>
          <w:rFonts w:ascii="Times New Roman" w:hAnsi="Times New Roman"/>
        </w:rPr>
        <w:t xml:space="preserve">§ 2 odst. 8 zákona č. 122/2000 Sb., </w:t>
      </w:r>
      <w:r w:rsidRPr="00065049">
        <w:rPr>
          <w:rFonts w:ascii="Times New Roman" w:hAnsi="Times New Roman"/>
          <w:bCs/>
        </w:rPr>
        <w:t>zřizovatelé</w:t>
      </w:r>
      <w:r w:rsidRPr="00065049">
        <w:rPr>
          <w:rFonts w:ascii="Times New Roman" w:hAnsi="Times New Roman"/>
        </w:rPr>
        <w:t xml:space="preserve"> poskytovatelů standardizovaných veřejných služeb (muzeí a galerií).</w:t>
      </w:r>
    </w:p>
    <w:p w14:paraId="513478D7" w14:textId="77777777" w:rsidR="00386A2C" w:rsidRPr="00065049" w:rsidRDefault="003E4200" w:rsidP="00386A2C">
      <w:pPr>
        <w:pStyle w:val="Zhlav"/>
        <w:spacing w:before="120"/>
        <w:rPr>
          <w:rFonts w:ascii="Times New Roman" w:hAnsi="Times New Roman"/>
          <w:i/>
        </w:rPr>
      </w:pPr>
      <w:r w:rsidRPr="00065049">
        <w:rPr>
          <w:rFonts w:ascii="Times New Roman" w:hAnsi="Times New Roman"/>
          <w:i/>
        </w:rPr>
        <w:t>Podpora veřejných služeb muzeí</w:t>
      </w:r>
      <w:r w:rsidR="002512D9">
        <w:rPr>
          <w:rFonts w:ascii="Times New Roman" w:hAnsi="Times New Roman"/>
          <w:i/>
        </w:rPr>
        <w:tab/>
      </w:r>
      <w:r w:rsidR="00BE252A" w:rsidRPr="00065049">
        <w:rPr>
          <w:rFonts w:ascii="Times New Roman" w:hAnsi="Times New Roman"/>
          <w:i/>
        </w:rPr>
        <w:tab/>
      </w:r>
      <w:r w:rsidR="00F95EC0" w:rsidRPr="00065049">
        <w:rPr>
          <w:rFonts w:ascii="Times New Roman" w:hAnsi="Times New Roman"/>
          <w:i/>
        </w:rPr>
        <w:t>     7 000</w:t>
      </w:r>
      <w:r w:rsidR="00386A2C" w:rsidRPr="00065049">
        <w:rPr>
          <w:rFonts w:ascii="Times New Roman" w:hAnsi="Times New Roman"/>
          <w:i/>
        </w:rPr>
        <w:t> </w:t>
      </w:r>
      <w:r w:rsidR="00F95EC0" w:rsidRPr="00065049">
        <w:rPr>
          <w:rFonts w:ascii="Times New Roman" w:hAnsi="Times New Roman"/>
          <w:i/>
        </w:rPr>
        <w:t>00</w:t>
      </w:r>
      <w:r w:rsidR="00386A2C" w:rsidRPr="00065049">
        <w:rPr>
          <w:rFonts w:ascii="Times New Roman" w:hAnsi="Times New Roman"/>
          <w:i/>
        </w:rPr>
        <w:t>0 Kč</w:t>
      </w:r>
    </w:p>
    <w:p w14:paraId="513478D8" w14:textId="77777777" w:rsidR="00967348" w:rsidRPr="00065049" w:rsidRDefault="00967348" w:rsidP="00386A2C">
      <w:pPr>
        <w:pStyle w:val="Zhlav"/>
        <w:spacing w:before="120"/>
        <w:rPr>
          <w:rFonts w:ascii="Times New Roman" w:hAnsi="Times New Roman"/>
          <w:i/>
        </w:rPr>
      </w:pPr>
      <w:r w:rsidRPr="00065049">
        <w:rPr>
          <w:rFonts w:ascii="Times New Roman" w:hAnsi="Times New Roman"/>
        </w:rPr>
        <w:t xml:space="preserve">Z tohoto </w:t>
      </w:r>
      <w:r w:rsidR="006265C8">
        <w:rPr>
          <w:rFonts w:ascii="Times New Roman" w:hAnsi="Times New Roman"/>
        </w:rPr>
        <w:t>ukazatele</w:t>
      </w:r>
      <w:r w:rsidRPr="00065049">
        <w:rPr>
          <w:rFonts w:ascii="Times New Roman" w:hAnsi="Times New Roman"/>
        </w:rPr>
        <w:t xml:space="preserve"> </w:t>
      </w:r>
      <w:r w:rsidR="00234804" w:rsidRPr="00065049">
        <w:rPr>
          <w:rFonts w:ascii="Times New Roman" w:hAnsi="Times New Roman"/>
        </w:rPr>
        <w:t>budou</w:t>
      </w:r>
      <w:r w:rsidRPr="00065049">
        <w:rPr>
          <w:rFonts w:ascii="Times New Roman" w:hAnsi="Times New Roman"/>
        </w:rPr>
        <w:t xml:space="preserve"> alokovány finanční prostředky na podporu výstavních projektů muzeí a galerií, které nelze zajistit z běžného rozpočtu na provoz a činnost</w:t>
      </w:r>
      <w:r w:rsidR="002512D9">
        <w:rPr>
          <w:rFonts w:ascii="Times New Roman" w:hAnsi="Times New Roman"/>
        </w:rPr>
        <w:t xml:space="preserve"> (§ 10 zákona č. 122/2000 Sb.)</w:t>
      </w:r>
      <w:r w:rsidRPr="00065049">
        <w:rPr>
          <w:rFonts w:ascii="Times New Roman" w:hAnsi="Times New Roman"/>
        </w:rPr>
        <w:t xml:space="preserve">. Zejména se jedná o projekty s participací </w:t>
      </w:r>
      <w:r w:rsidR="00065049">
        <w:rPr>
          <w:rFonts w:ascii="Times New Roman" w:hAnsi="Times New Roman"/>
        </w:rPr>
        <w:t>Ministerstva kultury</w:t>
      </w:r>
      <w:r w:rsidRPr="00065049">
        <w:rPr>
          <w:rFonts w:ascii="Times New Roman" w:hAnsi="Times New Roman"/>
        </w:rPr>
        <w:t>, výroční aktivity, projekty rozvíjející vědeckou činnost organizací, podporující národní identitu nebo mají mezinárodní charakter. Řada z nich je víceletých, navazujících na předchozí přípravné práce.</w:t>
      </w:r>
    </w:p>
    <w:p w14:paraId="513478D9" w14:textId="77777777" w:rsidR="00386A2C" w:rsidRPr="00065049" w:rsidRDefault="003E4200" w:rsidP="00386A2C">
      <w:pPr>
        <w:pStyle w:val="Zhlav"/>
        <w:spacing w:before="120"/>
        <w:rPr>
          <w:rFonts w:ascii="Times New Roman" w:hAnsi="Times New Roman"/>
          <w:i/>
        </w:rPr>
      </w:pPr>
      <w:r w:rsidRPr="00065049">
        <w:rPr>
          <w:rFonts w:ascii="Times New Roman" w:hAnsi="Times New Roman"/>
          <w:i/>
        </w:rPr>
        <w:t>Podpora výchovně vzdělávacích aktivit v muzejnictví</w:t>
      </w:r>
      <w:r w:rsidRPr="00065049">
        <w:rPr>
          <w:rFonts w:ascii="Times New Roman" w:hAnsi="Times New Roman"/>
          <w:i/>
        </w:rPr>
        <w:tab/>
      </w:r>
      <w:r w:rsidR="00F95EC0" w:rsidRPr="00065049">
        <w:rPr>
          <w:rFonts w:ascii="Times New Roman" w:hAnsi="Times New Roman"/>
          <w:i/>
        </w:rPr>
        <w:t>     2 500 000 Kč</w:t>
      </w:r>
    </w:p>
    <w:p w14:paraId="513478DA" w14:textId="77777777" w:rsidR="00967348" w:rsidRPr="00065049" w:rsidRDefault="00967348" w:rsidP="00386A2C">
      <w:pPr>
        <w:pStyle w:val="Zhlav"/>
        <w:spacing w:before="120"/>
        <w:rPr>
          <w:rFonts w:ascii="Times New Roman" w:hAnsi="Times New Roman"/>
        </w:rPr>
      </w:pPr>
      <w:r w:rsidRPr="00065049">
        <w:rPr>
          <w:rFonts w:ascii="Times New Roman" w:hAnsi="Times New Roman"/>
        </w:rPr>
        <w:t xml:space="preserve">Dotace z tohoto </w:t>
      </w:r>
      <w:r w:rsidR="006265C8">
        <w:rPr>
          <w:rFonts w:ascii="Times New Roman" w:hAnsi="Times New Roman"/>
        </w:rPr>
        <w:t>ukazatele</w:t>
      </w:r>
      <w:r w:rsidRPr="00065049">
        <w:rPr>
          <w:rFonts w:ascii="Times New Roman" w:hAnsi="Times New Roman"/>
        </w:rPr>
        <w:t xml:space="preserve"> jsou udělovány ve dvou tematických okruzích:</w:t>
      </w:r>
    </w:p>
    <w:p w14:paraId="513478DB" w14:textId="77777777" w:rsidR="00967348" w:rsidRPr="00065049" w:rsidRDefault="00967348" w:rsidP="00A06F71">
      <w:pPr>
        <w:pStyle w:val="Odstavecseseznamem"/>
        <w:numPr>
          <w:ilvl w:val="0"/>
          <w:numId w:val="8"/>
        </w:numPr>
        <w:spacing w:after="0" w:line="240" w:lineRule="auto"/>
        <w:rPr>
          <w:rFonts w:ascii="Times New Roman" w:hAnsi="Times New Roman"/>
          <w:sz w:val="24"/>
          <w:szCs w:val="24"/>
        </w:rPr>
      </w:pPr>
      <w:r w:rsidRPr="00065049">
        <w:rPr>
          <w:rFonts w:ascii="Times New Roman" w:hAnsi="Times New Roman"/>
          <w:sz w:val="24"/>
          <w:szCs w:val="24"/>
        </w:rPr>
        <w:t xml:space="preserve">Edukační aktivity v rámci muzejních expozic ze sbírek evidovaných v Centrální evidenci sbírek muzejní povahy Ministerstva kultury (CES). </w:t>
      </w:r>
    </w:p>
    <w:p w14:paraId="513478DC" w14:textId="77777777" w:rsidR="00967348" w:rsidRPr="00065049" w:rsidRDefault="00967348" w:rsidP="00A06F71">
      <w:pPr>
        <w:pStyle w:val="Odstavecseseznamem"/>
        <w:numPr>
          <w:ilvl w:val="0"/>
          <w:numId w:val="8"/>
        </w:numPr>
        <w:spacing w:after="0" w:line="240" w:lineRule="auto"/>
        <w:rPr>
          <w:rFonts w:ascii="Times New Roman" w:hAnsi="Times New Roman"/>
          <w:sz w:val="24"/>
          <w:szCs w:val="24"/>
        </w:rPr>
      </w:pPr>
      <w:r w:rsidRPr="00065049">
        <w:rPr>
          <w:rFonts w:ascii="Times New Roman" w:hAnsi="Times New Roman"/>
          <w:sz w:val="24"/>
          <w:szCs w:val="24"/>
        </w:rPr>
        <w:t>Edukační aktivity v oblasti muzejnictví podporující rozvoj školních vzdělávacích programů.</w:t>
      </w:r>
    </w:p>
    <w:p w14:paraId="513478DD" w14:textId="77777777" w:rsidR="00202815" w:rsidRDefault="00967348" w:rsidP="00A06F71">
      <w:pPr>
        <w:spacing w:line="240" w:lineRule="auto"/>
        <w:rPr>
          <w:rFonts w:ascii="Times New Roman" w:hAnsi="Times New Roman"/>
          <w:szCs w:val="24"/>
        </w:rPr>
      </w:pPr>
      <w:r w:rsidRPr="00065049">
        <w:rPr>
          <w:rFonts w:ascii="Times New Roman" w:hAnsi="Times New Roman"/>
          <w:szCs w:val="24"/>
        </w:rPr>
        <w:t xml:space="preserve">Výběrové dotační řízení je určeno pro </w:t>
      </w:r>
      <w:r w:rsidRPr="00065049">
        <w:rPr>
          <w:rFonts w:ascii="Times New Roman" w:hAnsi="Times New Roman"/>
          <w:bCs/>
          <w:spacing w:val="4"/>
          <w:szCs w:val="24"/>
        </w:rPr>
        <w:t xml:space="preserve">vlastníky nebo správce, jejichž sbírka je zapsána v CES a pro školy které jsou uvedeny v </w:t>
      </w:r>
      <w:r w:rsidRPr="00065049">
        <w:rPr>
          <w:rFonts w:ascii="Times New Roman" w:hAnsi="Times New Roman"/>
          <w:szCs w:val="24"/>
        </w:rPr>
        <w:t xml:space="preserve">Rejstříku škol a školských zařízení MŠMT. Dotace jsou určeny na projekty, které podpoří rozvoj kreativity dětí prostřednictvím uměleckých aktivit a kulturních zážitků v oblasti muzejnictví a zaslouží si podporu ze státního rozpočtu. </w:t>
      </w:r>
      <w:r w:rsidRPr="00065049">
        <w:rPr>
          <w:rFonts w:ascii="Times New Roman" w:hAnsi="Times New Roman"/>
          <w:szCs w:val="24"/>
        </w:rPr>
        <w:lastRenderedPageBreak/>
        <w:t>Dotace jsou poskytovány na neinvestiční výdaje související s realizací předkládaných projektů včetně úhrady nákladů v rámci realizace schválené žádosti.</w:t>
      </w:r>
    </w:p>
    <w:p w14:paraId="513478DE" w14:textId="77777777" w:rsidR="003E4200" w:rsidRPr="00065049" w:rsidRDefault="003E4200" w:rsidP="00E82302">
      <w:pPr>
        <w:pStyle w:val="Zhlav"/>
        <w:spacing w:before="120"/>
        <w:rPr>
          <w:rFonts w:ascii="Times New Roman" w:hAnsi="Times New Roman"/>
          <w:u w:val="single"/>
        </w:rPr>
      </w:pPr>
      <w:r w:rsidRPr="00065049">
        <w:rPr>
          <w:rFonts w:ascii="Times New Roman" w:hAnsi="Times New Roman"/>
          <w:u w:val="single"/>
        </w:rPr>
        <w:t>Integrovaný systém ochrany movitého kulturního dědictví</w:t>
      </w:r>
      <w:r w:rsidRPr="00065049">
        <w:rPr>
          <w:rFonts w:ascii="Times New Roman" w:hAnsi="Times New Roman"/>
          <w:u w:val="single"/>
        </w:rPr>
        <w:tab/>
      </w:r>
      <w:r w:rsidR="00386A2C" w:rsidRPr="00065049">
        <w:rPr>
          <w:rFonts w:ascii="Times New Roman" w:hAnsi="Times New Roman"/>
          <w:b/>
          <w:u w:val="single"/>
        </w:rPr>
        <w:t>      </w:t>
      </w:r>
      <w:r w:rsidR="00AA780F" w:rsidRPr="00065049">
        <w:rPr>
          <w:rFonts w:ascii="Times New Roman" w:hAnsi="Times New Roman"/>
          <w:b/>
          <w:u w:val="single"/>
        </w:rPr>
        <w:t>   </w:t>
      </w:r>
      <w:r w:rsidR="00F95EC0" w:rsidRPr="00065049">
        <w:rPr>
          <w:rFonts w:ascii="Times New Roman" w:hAnsi="Times New Roman"/>
          <w:u w:val="single"/>
        </w:rPr>
        <w:t>42</w:t>
      </w:r>
      <w:r w:rsidR="00AA780F" w:rsidRPr="00065049">
        <w:rPr>
          <w:rFonts w:ascii="Times New Roman" w:hAnsi="Times New Roman"/>
          <w:u w:val="single"/>
        </w:rPr>
        <w:t> 000</w:t>
      </w:r>
      <w:r w:rsidR="00386A2C" w:rsidRPr="00065049">
        <w:rPr>
          <w:rFonts w:ascii="Times New Roman" w:hAnsi="Times New Roman"/>
          <w:u w:val="single"/>
        </w:rPr>
        <w:t> </w:t>
      </w:r>
      <w:r w:rsidR="00AA780F" w:rsidRPr="00065049">
        <w:rPr>
          <w:rFonts w:ascii="Times New Roman" w:hAnsi="Times New Roman"/>
          <w:u w:val="single"/>
        </w:rPr>
        <w:t>000</w:t>
      </w:r>
      <w:r w:rsidR="00386A2C" w:rsidRPr="00065049">
        <w:rPr>
          <w:rFonts w:ascii="Times New Roman" w:hAnsi="Times New Roman"/>
          <w:u w:val="single"/>
        </w:rPr>
        <w:t> </w:t>
      </w:r>
      <w:r w:rsidRPr="00065049">
        <w:rPr>
          <w:rFonts w:ascii="Times New Roman" w:hAnsi="Times New Roman"/>
          <w:u w:val="single"/>
        </w:rPr>
        <w:t>Kč</w:t>
      </w:r>
    </w:p>
    <w:p w14:paraId="513478DF" w14:textId="77777777" w:rsidR="005E5C15" w:rsidRPr="00065049" w:rsidRDefault="007901B8" w:rsidP="00065049">
      <w:pPr>
        <w:pStyle w:val="Zhlav"/>
        <w:spacing w:before="120" w:after="120"/>
        <w:rPr>
          <w:rFonts w:ascii="Times New Roman" w:hAnsi="Times New Roman"/>
        </w:rPr>
      </w:pPr>
      <w:r w:rsidRPr="00065049">
        <w:rPr>
          <w:rFonts w:ascii="Times New Roman" w:hAnsi="Times New Roman"/>
        </w:rPr>
        <w:t xml:space="preserve">Cíle i rozpočet schválila vláda České republiky svým usnesením č. 487/2010. Program 134 510 </w:t>
      </w:r>
      <w:r w:rsidR="00065049" w:rsidRPr="00065049">
        <w:rPr>
          <w:rFonts w:ascii="Times New Roman" w:hAnsi="Times New Roman"/>
        </w:rPr>
        <w:t>má v současnosti 5 podprogramů.</w:t>
      </w:r>
    </w:p>
    <w:p w14:paraId="513478E0" w14:textId="77777777" w:rsidR="005E5C15" w:rsidRPr="00065049" w:rsidRDefault="007901B8" w:rsidP="005E5C15">
      <w:pPr>
        <w:spacing w:line="240" w:lineRule="auto"/>
        <w:rPr>
          <w:rFonts w:ascii="Times New Roman" w:hAnsi="Times New Roman"/>
        </w:rPr>
      </w:pPr>
      <w:r w:rsidRPr="00065049">
        <w:rPr>
          <w:rFonts w:ascii="Times New Roman" w:hAnsi="Times New Roman"/>
          <w:i/>
        </w:rPr>
        <w:t>Zabezpečení objektů, v nichž jsou uloženy předměty movitého</w:t>
      </w:r>
    </w:p>
    <w:p w14:paraId="513478E1" w14:textId="77777777" w:rsidR="007901B8" w:rsidRPr="00065049" w:rsidRDefault="007901B8" w:rsidP="005E5C15">
      <w:pPr>
        <w:spacing w:line="240" w:lineRule="auto"/>
        <w:rPr>
          <w:rFonts w:ascii="Times New Roman" w:hAnsi="Times New Roman"/>
          <w:i/>
        </w:rPr>
      </w:pPr>
      <w:r w:rsidRPr="00065049">
        <w:rPr>
          <w:rFonts w:ascii="Times New Roman" w:hAnsi="Times New Roman"/>
          <w:i/>
        </w:rPr>
        <w:t>kulturního dědictví,</w:t>
      </w:r>
      <w:r w:rsidR="00234804" w:rsidRPr="00065049">
        <w:rPr>
          <w:rFonts w:ascii="Times New Roman" w:hAnsi="Times New Roman"/>
          <w:i/>
        </w:rPr>
        <w:t xml:space="preserve"> </w:t>
      </w:r>
      <w:r w:rsidRPr="00065049">
        <w:rPr>
          <w:rFonts w:ascii="Times New Roman" w:hAnsi="Times New Roman"/>
          <w:i/>
        </w:rPr>
        <w:t>bezp</w:t>
      </w:r>
      <w:r w:rsidR="00234804" w:rsidRPr="00065049">
        <w:rPr>
          <w:rFonts w:ascii="Times New Roman" w:hAnsi="Times New Roman"/>
          <w:i/>
        </w:rPr>
        <w:t>ečnostními</w:t>
      </w:r>
      <w:r w:rsidRPr="00065049">
        <w:rPr>
          <w:rFonts w:ascii="Times New Roman" w:hAnsi="Times New Roman"/>
          <w:i/>
        </w:rPr>
        <w:t xml:space="preserve"> systémy a mechanickými zábranami</w:t>
      </w:r>
      <w:r w:rsidRPr="00065049">
        <w:rPr>
          <w:rFonts w:ascii="Times New Roman" w:hAnsi="Times New Roman"/>
          <w:i/>
        </w:rPr>
        <w:tab/>
        <w:t> </w:t>
      </w:r>
      <w:r w:rsidR="00386A2C" w:rsidRPr="00065049">
        <w:rPr>
          <w:rFonts w:ascii="Times New Roman" w:hAnsi="Times New Roman"/>
          <w:i/>
        </w:rPr>
        <w:t>        </w:t>
      </w:r>
      <w:r w:rsidR="00F95EC0" w:rsidRPr="00065049">
        <w:rPr>
          <w:rFonts w:ascii="Times New Roman" w:hAnsi="Times New Roman"/>
          <w:i/>
        </w:rPr>
        <w:t>10</w:t>
      </w:r>
      <w:r w:rsidR="00386A2C" w:rsidRPr="00065049">
        <w:rPr>
          <w:rFonts w:ascii="Times New Roman" w:hAnsi="Times New Roman"/>
          <w:i/>
        </w:rPr>
        <w:t> </w:t>
      </w:r>
      <w:r w:rsidRPr="00065049">
        <w:rPr>
          <w:rFonts w:ascii="Times New Roman" w:hAnsi="Times New Roman"/>
          <w:i/>
        </w:rPr>
        <w:t>9</w:t>
      </w:r>
      <w:r w:rsidR="00AA780F" w:rsidRPr="00065049">
        <w:rPr>
          <w:rFonts w:ascii="Times New Roman" w:hAnsi="Times New Roman"/>
          <w:i/>
        </w:rPr>
        <w:t>00</w:t>
      </w:r>
      <w:r w:rsidR="00386A2C" w:rsidRPr="00065049">
        <w:rPr>
          <w:rFonts w:ascii="Times New Roman" w:hAnsi="Times New Roman"/>
          <w:i/>
        </w:rPr>
        <w:t> </w:t>
      </w:r>
      <w:r w:rsidRPr="00065049">
        <w:rPr>
          <w:rFonts w:ascii="Times New Roman" w:hAnsi="Times New Roman"/>
          <w:i/>
        </w:rPr>
        <w:t>000 Kč</w:t>
      </w:r>
    </w:p>
    <w:p w14:paraId="513478E2" w14:textId="77777777" w:rsidR="007901B8" w:rsidRPr="00065049" w:rsidRDefault="007901B8" w:rsidP="000F6720">
      <w:pPr>
        <w:pStyle w:val="Zhlav"/>
        <w:spacing w:before="120"/>
        <w:rPr>
          <w:rFonts w:ascii="Times New Roman" w:hAnsi="Times New Roman"/>
        </w:rPr>
      </w:pPr>
      <w:r w:rsidRPr="00065049">
        <w:rPr>
          <w:rFonts w:ascii="Times New Roman" w:hAnsi="Times New Roman"/>
        </w:rPr>
        <w:t>Jedná se o klíčový podprogram, který má v rámci celého programu ISO nejvyšší prioritu, neboť reprezentuje nejúčinnější způsob ochrany movitého kulturního dědictví. Finanční prostředky se poskytují na vybavování profánních a sakrálních objektů, v nichž jsou uchovávány sbírky muzejní povahy ve smyslu zákona č. 122/2000 Sb.,</w:t>
      </w:r>
      <w:r w:rsidR="00D16F62" w:rsidRPr="00065049">
        <w:rPr>
          <w:rFonts w:ascii="Times New Roman" w:hAnsi="Times New Roman"/>
        </w:rPr>
        <w:t xml:space="preserve"> o ochraně sbírek muzejní povahy a o změně některých dalších zákonů,</w:t>
      </w:r>
      <w:r w:rsidRPr="00065049">
        <w:rPr>
          <w:rFonts w:ascii="Times New Roman" w:hAnsi="Times New Roman"/>
        </w:rPr>
        <w:t xml:space="preserve"> kulturní památky a národní kulturní památky ve smyslu zákona č. 20/1987 Sb.,</w:t>
      </w:r>
      <w:r w:rsidR="00D16F62" w:rsidRPr="00065049">
        <w:rPr>
          <w:rFonts w:ascii="Times New Roman" w:hAnsi="Times New Roman"/>
        </w:rPr>
        <w:t xml:space="preserve"> o státní památkové péči,</w:t>
      </w:r>
      <w:r w:rsidRPr="00065049">
        <w:rPr>
          <w:rFonts w:ascii="Times New Roman" w:hAnsi="Times New Roman"/>
        </w:rPr>
        <w:t xml:space="preserve"> případně jiné předměty kulturní hodnoty mimořádného významu pro historii, literaturu, umění, vědu nebo techniku, elektrickou zabezpečovací signalizací (EZS), elektrickou požární signalizací (EPS), uzavřeným kamerovým okruhem (CCTV) a dalšími signalizačními, regulačními </w:t>
      </w:r>
      <w:r w:rsidR="00D16F62" w:rsidRPr="00065049">
        <w:rPr>
          <w:rFonts w:ascii="Times New Roman" w:hAnsi="Times New Roman"/>
        </w:rPr>
        <w:br/>
      </w:r>
      <w:r w:rsidRPr="00065049">
        <w:rPr>
          <w:rFonts w:ascii="Times New Roman" w:hAnsi="Times New Roman"/>
        </w:rPr>
        <w:t>a komunikačními systémy a mechanickými zábranami.</w:t>
      </w:r>
    </w:p>
    <w:p w14:paraId="513478E3" w14:textId="77777777" w:rsidR="007901B8" w:rsidRPr="00065049" w:rsidRDefault="007901B8" w:rsidP="000F6720">
      <w:pPr>
        <w:pStyle w:val="Zhlav"/>
        <w:spacing w:before="120"/>
        <w:rPr>
          <w:rFonts w:ascii="Times New Roman" w:hAnsi="Times New Roman"/>
        </w:rPr>
      </w:pPr>
      <w:r w:rsidRPr="00065049">
        <w:rPr>
          <w:rFonts w:ascii="Times New Roman" w:hAnsi="Times New Roman"/>
        </w:rPr>
        <w:t>Kritériem při hodnocení žádosti o poskytnutí finančních prostředků je kvalita a kvantita předmětů movitého kulturního dědictví v objektu uložených, míra rizika napadení objektu, úroveň jeho stávajícího zabezpečení a oprávněnost finančních požadavků s ohledem na cíl, účel, rozsah a povahu požadovaného zabezpečení.</w:t>
      </w:r>
    </w:p>
    <w:p w14:paraId="513478E4" w14:textId="77777777" w:rsidR="007901B8" w:rsidRPr="00065049" w:rsidRDefault="007901B8" w:rsidP="00E82302">
      <w:pPr>
        <w:spacing w:before="120" w:line="240" w:lineRule="auto"/>
        <w:rPr>
          <w:rFonts w:ascii="Times New Roman" w:hAnsi="Times New Roman"/>
          <w:i/>
        </w:rPr>
      </w:pPr>
      <w:r w:rsidRPr="00065049">
        <w:rPr>
          <w:rFonts w:ascii="Times New Roman" w:hAnsi="Times New Roman"/>
          <w:i/>
        </w:rPr>
        <w:t>Evidence a dokumentace movitého kulturního dědictví</w:t>
      </w:r>
      <w:r w:rsidRPr="00065049">
        <w:rPr>
          <w:rFonts w:ascii="Times New Roman" w:hAnsi="Times New Roman"/>
          <w:i/>
        </w:rPr>
        <w:tab/>
      </w:r>
      <w:r w:rsidRPr="00065049">
        <w:rPr>
          <w:rFonts w:ascii="Times New Roman" w:hAnsi="Times New Roman"/>
          <w:i/>
        </w:rPr>
        <w:tab/>
      </w:r>
      <w:r w:rsidRPr="00065049">
        <w:rPr>
          <w:rFonts w:ascii="Times New Roman" w:hAnsi="Times New Roman"/>
          <w:i/>
        </w:rPr>
        <w:tab/>
      </w:r>
      <w:r w:rsidR="00386A2C" w:rsidRPr="00065049">
        <w:rPr>
          <w:rFonts w:ascii="Times New Roman" w:hAnsi="Times New Roman"/>
          <w:i/>
        </w:rPr>
        <w:t>        </w:t>
      </w:r>
      <w:r w:rsidR="00B81A8D" w:rsidRPr="00065049">
        <w:rPr>
          <w:rFonts w:ascii="Times New Roman" w:hAnsi="Times New Roman"/>
          <w:i/>
        </w:rPr>
        <w:t>   </w:t>
      </w:r>
      <w:r w:rsidRPr="00065049">
        <w:rPr>
          <w:rFonts w:ascii="Times New Roman" w:hAnsi="Times New Roman"/>
          <w:i/>
        </w:rPr>
        <w:t>1</w:t>
      </w:r>
      <w:r w:rsidR="00386A2C" w:rsidRPr="00065049">
        <w:rPr>
          <w:rFonts w:ascii="Times New Roman" w:hAnsi="Times New Roman"/>
          <w:i/>
        </w:rPr>
        <w:t> </w:t>
      </w:r>
      <w:r w:rsidRPr="00065049">
        <w:rPr>
          <w:rFonts w:ascii="Times New Roman" w:hAnsi="Times New Roman"/>
          <w:i/>
        </w:rPr>
        <w:t>000</w:t>
      </w:r>
      <w:r w:rsidR="00386A2C" w:rsidRPr="00065049">
        <w:rPr>
          <w:rFonts w:ascii="Times New Roman" w:hAnsi="Times New Roman"/>
          <w:i/>
        </w:rPr>
        <w:t> </w:t>
      </w:r>
      <w:r w:rsidRPr="00065049">
        <w:rPr>
          <w:rFonts w:ascii="Times New Roman" w:hAnsi="Times New Roman"/>
          <w:i/>
        </w:rPr>
        <w:t>000</w:t>
      </w:r>
      <w:r w:rsidR="00386A2C" w:rsidRPr="00065049">
        <w:rPr>
          <w:rFonts w:ascii="Times New Roman" w:hAnsi="Times New Roman"/>
          <w:i/>
        </w:rPr>
        <w:t> </w:t>
      </w:r>
      <w:r w:rsidRPr="00065049">
        <w:rPr>
          <w:rFonts w:ascii="Times New Roman" w:hAnsi="Times New Roman"/>
          <w:i/>
        </w:rPr>
        <w:t>Kč</w:t>
      </w:r>
    </w:p>
    <w:p w14:paraId="513478E5" w14:textId="77777777" w:rsidR="007901B8" w:rsidRPr="00065049" w:rsidRDefault="007901B8" w:rsidP="000F6720">
      <w:pPr>
        <w:pStyle w:val="Zhlav"/>
        <w:spacing w:before="120"/>
        <w:rPr>
          <w:rFonts w:ascii="Times New Roman" w:hAnsi="Times New Roman"/>
        </w:rPr>
      </w:pPr>
      <w:r w:rsidRPr="00065049">
        <w:rPr>
          <w:rFonts w:ascii="Times New Roman" w:hAnsi="Times New Roman"/>
        </w:rPr>
        <w:t>Finanční prostředky se poskytují na vybavení a provoz pracovišť, zajišťujících evidenci</w:t>
      </w:r>
      <w:r w:rsidRPr="00065049">
        <w:rPr>
          <w:rFonts w:ascii="Times New Roman" w:hAnsi="Times New Roman"/>
        </w:rPr>
        <w:br/>
        <w:t>a dokumentaci movitého kulturního dědictví v digitální podobě. Jedná se o:</w:t>
      </w:r>
    </w:p>
    <w:p w14:paraId="513478E6" w14:textId="77777777" w:rsidR="007901B8" w:rsidRPr="00065049" w:rsidRDefault="007901B8" w:rsidP="00A06F71">
      <w:pPr>
        <w:pStyle w:val="Zhlav"/>
        <w:numPr>
          <w:ilvl w:val="0"/>
          <w:numId w:val="1"/>
        </w:numPr>
        <w:ind w:left="720"/>
        <w:rPr>
          <w:rFonts w:ascii="Times New Roman" w:hAnsi="Times New Roman"/>
        </w:rPr>
      </w:pPr>
      <w:r w:rsidRPr="00065049">
        <w:rPr>
          <w:rFonts w:ascii="Times New Roman" w:hAnsi="Times New Roman"/>
        </w:rPr>
        <w:t xml:space="preserve">Národní památkový ústav, </w:t>
      </w:r>
    </w:p>
    <w:p w14:paraId="513478E7" w14:textId="77777777" w:rsidR="007901B8" w:rsidRPr="00065049" w:rsidRDefault="007901B8" w:rsidP="00234804">
      <w:pPr>
        <w:pStyle w:val="Zhlav"/>
        <w:numPr>
          <w:ilvl w:val="0"/>
          <w:numId w:val="1"/>
        </w:numPr>
        <w:ind w:left="714" w:hanging="357"/>
        <w:rPr>
          <w:rFonts w:ascii="Times New Roman" w:hAnsi="Times New Roman"/>
        </w:rPr>
      </w:pPr>
      <w:r w:rsidRPr="00065049">
        <w:rPr>
          <w:rFonts w:ascii="Times New Roman" w:hAnsi="Times New Roman"/>
        </w:rPr>
        <w:t>vlastníky sbírek zapsaných v CES, kteří zajišťují činnosti uvedené v § 10, odst. 3, písm. c) zákona č. 122/2000 Sb., o ochraně sbírek muzejní povahy a o změně některých dalších zákonů,</w:t>
      </w:r>
    </w:p>
    <w:p w14:paraId="513478E8" w14:textId="77777777" w:rsidR="007901B8" w:rsidRPr="00065049" w:rsidRDefault="007901B8" w:rsidP="00234804">
      <w:pPr>
        <w:pStyle w:val="Zhlav"/>
        <w:numPr>
          <w:ilvl w:val="0"/>
          <w:numId w:val="1"/>
        </w:numPr>
        <w:ind w:left="714" w:hanging="357"/>
        <w:rPr>
          <w:rFonts w:ascii="Times New Roman" w:hAnsi="Times New Roman"/>
        </w:rPr>
      </w:pPr>
      <w:r w:rsidRPr="00065049">
        <w:rPr>
          <w:rFonts w:ascii="Times New Roman" w:hAnsi="Times New Roman"/>
        </w:rPr>
        <w:t>specializovaná pracoviště zřízená při Diecézních konzervátorských centrech Římskokatolické církve, jejichž zřizovatel uzavřel platné smlouvy o spolupráci na dokumentaci kulturních statků ve vlastnictví Římskokatolické církve s příslušnými pracovišti Národního památkového ústavu.</w:t>
      </w:r>
    </w:p>
    <w:p w14:paraId="513478E9" w14:textId="77777777" w:rsidR="007901B8" w:rsidRPr="00065049" w:rsidRDefault="007901B8" w:rsidP="000F6720">
      <w:pPr>
        <w:pStyle w:val="Zhlav"/>
        <w:spacing w:before="120"/>
        <w:rPr>
          <w:rFonts w:ascii="Times New Roman" w:hAnsi="Times New Roman"/>
        </w:rPr>
      </w:pPr>
      <w:r w:rsidRPr="00065049">
        <w:rPr>
          <w:rFonts w:ascii="Times New Roman" w:hAnsi="Times New Roman"/>
        </w:rPr>
        <w:t>Kritériem při hodnocení žádosti o poskytnutí finančních prostředků je kvalita zpracovaných povinných materiálů – koncepce, vnitřní směrnice k digitalizaci a projektové dokumentace v případě sbírkotvorných institucí. Dále oprávněnost finančních požadavků s ohledem na cíl, rozsah a povahu digitalizace a charakter technického a přístrojového vybavení a služeb, které mají být pořízeny.</w:t>
      </w:r>
    </w:p>
    <w:p w14:paraId="513478EA" w14:textId="77777777" w:rsidR="007901B8" w:rsidRPr="00065049" w:rsidRDefault="007901B8" w:rsidP="00E82302">
      <w:pPr>
        <w:spacing w:before="120" w:line="240" w:lineRule="auto"/>
        <w:rPr>
          <w:rFonts w:ascii="Times New Roman" w:hAnsi="Times New Roman"/>
          <w:i/>
        </w:rPr>
      </w:pPr>
      <w:r w:rsidRPr="00065049">
        <w:rPr>
          <w:rFonts w:ascii="Times New Roman" w:hAnsi="Times New Roman"/>
          <w:i/>
        </w:rPr>
        <w:t>Výkupy předmětů kulturní hodnoty mimořádného významu</w:t>
      </w:r>
      <w:r w:rsidRPr="00065049">
        <w:rPr>
          <w:rFonts w:ascii="Times New Roman" w:hAnsi="Times New Roman"/>
          <w:i/>
        </w:rPr>
        <w:tab/>
      </w:r>
      <w:r w:rsidRPr="00065049">
        <w:rPr>
          <w:rFonts w:ascii="Times New Roman" w:hAnsi="Times New Roman"/>
          <w:i/>
        </w:rPr>
        <w:tab/>
      </w:r>
      <w:r w:rsidR="00963BC5" w:rsidRPr="00065049">
        <w:rPr>
          <w:rFonts w:ascii="Times New Roman" w:hAnsi="Times New Roman"/>
          <w:i/>
        </w:rPr>
        <w:tab/>
      </w:r>
      <w:r w:rsidR="00386A2C" w:rsidRPr="00065049">
        <w:rPr>
          <w:rFonts w:ascii="Times New Roman" w:hAnsi="Times New Roman"/>
          <w:i/>
        </w:rPr>
        <w:t>        </w:t>
      </w:r>
      <w:r w:rsidR="00B81A8D" w:rsidRPr="00065049">
        <w:rPr>
          <w:rFonts w:ascii="Times New Roman" w:hAnsi="Times New Roman"/>
          <w:i/>
        </w:rPr>
        <w:t> </w:t>
      </w:r>
      <w:r w:rsidR="00F95EC0" w:rsidRPr="00065049">
        <w:rPr>
          <w:rFonts w:ascii="Times New Roman" w:hAnsi="Times New Roman"/>
          <w:i/>
        </w:rPr>
        <w:t>13</w:t>
      </w:r>
      <w:r w:rsidR="00386A2C" w:rsidRPr="00065049">
        <w:rPr>
          <w:rFonts w:ascii="Times New Roman" w:hAnsi="Times New Roman"/>
          <w:i/>
        </w:rPr>
        <w:t> </w:t>
      </w:r>
      <w:r w:rsidRPr="00065049">
        <w:rPr>
          <w:rFonts w:ascii="Times New Roman" w:hAnsi="Times New Roman"/>
          <w:i/>
        </w:rPr>
        <w:t>000</w:t>
      </w:r>
      <w:r w:rsidR="00386A2C" w:rsidRPr="00065049">
        <w:rPr>
          <w:rFonts w:ascii="Times New Roman" w:hAnsi="Times New Roman"/>
          <w:i/>
        </w:rPr>
        <w:t> </w:t>
      </w:r>
      <w:r w:rsidRPr="00065049">
        <w:rPr>
          <w:rFonts w:ascii="Times New Roman" w:hAnsi="Times New Roman"/>
          <w:i/>
        </w:rPr>
        <w:t>000</w:t>
      </w:r>
      <w:r w:rsidR="00386A2C" w:rsidRPr="00065049">
        <w:rPr>
          <w:rFonts w:ascii="Times New Roman" w:hAnsi="Times New Roman"/>
          <w:i/>
        </w:rPr>
        <w:t> </w:t>
      </w:r>
      <w:r w:rsidRPr="00065049">
        <w:rPr>
          <w:rFonts w:ascii="Times New Roman" w:hAnsi="Times New Roman"/>
          <w:i/>
        </w:rPr>
        <w:t>Kč</w:t>
      </w:r>
    </w:p>
    <w:p w14:paraId="513478EB" w14:textId="77777777" w:rsidR="007901B8" w:rsidRPr="00065049" w:rsidRDefault="007901B8" w:rsidP="000F6720">
      <w:pPr>
        <w:pStyle w:val="Zhlav"/>
        <w:spacing w:before="120"/>
        <w:rPr>
          <w:rFonts w:ascii="Times New Roman" w:hAnsi="Times New Roman"/>
        </w:rPr>
      </w:pPr>
      <w:r w:rsidRPr="00065049">
        <w:rPr>
          <w:rFonts w:ascii="Times New Roman" w:hAnsi="Times New Roman"/>
        </w:rPr>
        <w:t>Finanční prostředky se poskytují muzeím, galeriím a knihovnám, které hospodaří se sbírkami muzejní povahy ve smyslu zákona č. 122/2000 Sb</w:t>
      </w:r>
      <w:r w:rsidR="00F173B8" w:rsidRPr="00065049">
        <w:rPr>
          <w:rFonts w:ascii="Times New Roman" w:hAnsi="Times New Roman"/>
        </w:rPr>
        <w:t>.</w:t>
      </w:r>
      <w:r w:rsidR="00D16F62" w:rsidRPr="00065049">
        <w:rPr>
          <w:rFonts w:ascii="Times New Roman" w:hAnsi="Times New Roman"/>
        </w:rPr>
        <w:t xml:space="preserve">, o ochraně sbírek muzejní povahy </w:t>
      </w:r>
      <w:r w:rsidR="00A06F71" w:rsidRPr="00065049">
        <w:rPr>
          <w:rFonts w:ascii="Times New Roman" w:hAnsi="Times New Roman"/>
        </w:rPr>
        <w:br/>
      </w:r>
      <w:r w:rsidR="00D16F62" w:rsidRPr="00065049">
        <w:rPr>
          <w:rFonts w:ascii="Times New Roman" w:hAnsi="Times New Roman"/>
        </w:rPr>
        <w:t>a o změně některých dalších zákonů,</w:t>
      </w:r>
      <w:r w:rsidRPr="00065049">
        <w:rPr>
          <w:rFonts w:ascii="Times New Roman" w:hAnsi="Times New Roman"/>
        </w:rPr>
        <w:t xml:space="preserve"> a ve zvláště odůvodněných případech Národnímu památkovému ústavu a dalším subjektům, které hospodaří se soubory kulturních památek případně specializovaným archivům, zřízeným příspěvkovými organizacemi Ministerstva </w:t>
      </w:r>
      <w:r w:rsidRPr="00065049">
        <w:rPr>
          <w:rFonts w:ascii="Times New Roman" w:hAnsi="Times New Roman"/>
        </w:rPr>
        <w:lastRenderedPageBreak/>
        <w:t xml:space="preserve">kultury v souladu s § 51 zákona č. </w:t>
      </w:r>
      <w:r w:rsidR="00D16F62" w:rsidRPr="00065049">
        <w:rPr>
          <w:rFonts w:ascii="Times New Roman" w:hAnsi="Times New Roman"/>
        </w:rPr>
        <w:t xml:space="preserve">499/2004 Sb., o archivnictví a spisové službě a o změně některých zákonů, </w:t>
      </w:r>
      <w:r w:rsidRPr="00065049">
        <w:rPr>
          <w:rFonts w:ascii="Times New Roman" w:hAnsi="Times New Roman"/>
        </w:rPr>
        <w:t>na zakoupení předmětů, jejichž získání je:</w:t>
      </w:r>
    </w:p>
    <w:p w14:paraId="513478EC" w14:textId="77777777" w:rsidR="007901B8" w:rsidRPr="00065049" w:rsidRDefault="007901B8" w:rsidP="00A06F71">
      <w:pPr>
        <w:pStyle w:val="Zhlav"/>
        <w:numPr>
          <w:ilvl w:val="0"/>
          <w:numId w:val="2"/>
        </w:numPr>
        <w:ind w:left="720"/>
        <w:rPr>
          <w:rFonts w:ascii="Times New Roman" w:hAnsi="Times New Roman"/>
        </w:rPr>
      </w:pPr>
      <w:r w:rsidRPr="00065049">
        <w:rPr>
          <w:rFonts w:ascii="Times New Roman" w:hAnsi="Times New Roman"/>
        </w:rPr>
        <w:t>reakvizicí předmětu vydaného v restitučním řízení nebo rovnocennou náhradou předmětu vydaného v restitučním řízení,</w:t>
      </w:r>
    </w:p>
    <w:p w14:paraId="513478ED" w14:textId="77777777" w:rsidR="007901B8" w:rsidRPr="00065049" w:rsidRDefault="007901B8" w:rsidP="00A06F71">
      <w:pPr>
        <w:pStyle w:val="Zhlav"/>
        <w:numPr>
          <w:ilvl w:val="0"/>
          <w:numId w:val="2"/>
        </w:numPr>
        <w:ind w:left="720"/>
        <w:rPr>
          <w:rFonts w:ascii="Times New Roman" w:hAnsi="Times New Roman"/>
        </w:rPr>
      </w:pPr>
      <w:r w:rsidRPr="00065049">
        <w:rPr>
          <w:rFonts w:ascii="Times New Roman" w:hAnsi="Times New Roman"/>
        </w:rPr>
        <w:t>zásadním zhodnocením sbírky muzejní povahy z hlediska dlouhodobé koncepce sbírkotvorné činnosti muzea nebo galerie, která se sbírkou hospodaří,</w:t>
      </w:r>
    </w:p>
    <w:p w14:paraId="513478EE" w14:textId="77777777" w:rsidR="007901B8" w:rsidRPr="00065049" w:rsidRDefault="007901B8" w:rsidP="00234804">
      <w:pPr>
        <w:pStyle w:val="Zhlav"/>
        <w:numPr>
          <w:ilvl w:val="0"/>
          <w:numId w:val="2"/>
        </w:numPr>
        <w:ind w:left="720"/>
        <w:rPr>
          <w:rFonts w:ascii="Times New Roman" w:hAnsi="Times New Roman"/>
        </w:rPr>
      </w:pPr>
      <w:r w:rsidRPr="00065049">
        <w:rPr>
          <w:rFonts w:ascii="Times New Roman" w:hAnsi="Times New Roman"/>
        </w:rPr>
        <w:t>reakvizicí předmětu náležejícího k původním historickým mobiliářům hradů</w:t>
      </w:r>
      <w:r w:rsidRPr="00065049">
        <w:rPr>
          <w:rFonts w:ascii="Times New Roman" w:hAnsi="Times New Roman"/>
        </w:rPr>
        <w:br/>
        <w:t>a zámků nebo rovnocennou náhradou předmětu k těmto mobiliářům prokazatelně náležejícího,</w:t>
      </w:r>
    </w:p>
    <w:p w14:paraId="513478EF" w14:textId="77777777" w:rsidR="007901B8" w:rsidRPr="00065049" w:rsidRDefault="007901B8" w:rsidP="00234804">
      <w:pPr>
        <w:pStyle w:val="Zhlav"/>
        <w:numPr>
          <w:ilvl w:val="0"/>
          <w:numId w:val="2"/>
        </w:numPr>
        <w:ind w:left="714" w:hanging="357"/>
        <w:rPr>
          <w:rFonts w:ascii="Times New Roman" w:hAnsi="Times New Roman"/>
        </w:rPr>
      </w:pPr>
      <w:r w:rsidRPr="00065049">
        <w:rPr>
          <w:rFonts w:ascii="Times New Roman" w:hAnsi="Times New Roman"/>
        </w:rPr>
        <w:t>zásadním přínosem pro specializovaný archiv, zřízený podle § 51 citovaného zákona příspěvkovou organizací zřízenou Ministerstvem kultury</w:t>
      </w:r>
    </w:p>
    <w:p w14:paraId="513478F0" w14:textId="77777777" w:rsidR="007901B8" w:rsidRPr="00065049" w:rsidRDefault="007901B8" w:rsidP="000F6720">
      <w:pPr>
        <w:pStyle w:val="Zhlav"/>
        <w:spacing w:before="120"/>
        <w:rPr>
          <w:rFonts w:ascii="Times New Roman" w:hAnsi="Times New Roman"/>
        </w:rPr>
      </w:pPr>
      <w:r w:rsidRPr="00065049">
        <w:rPr>
          <w:rFonts w:ascii="Times New Roman" w:hAnsi="Times New Roman"/>
        </w:rPr>
        <w:t>Kritériem při hodnocení žádosti o poskytnutí finančních prostředků je význam, hodnota, kvalita a jedinečnost předmětu akvizice a průkaznost jeho původu.  Dále míra zhodnocení sbírky muzejní povahy z hlediska dlouhodobé koncepce sbírkotvorné činnosti muzea nebo galerie, která se sbírkou hospodaří, míra zhodnocení historických mobiliářů hradů</w:t>
      </w:r>
      <w:r w:rsidRPr="00065049">
        <w:rPr>
          <w:rFonts w:ascii="Times New Roman" w:hAnsi="Times New Roman"/>
        </w:rPr>
        <w:br/>
        <w:t xml:space="preserve">a zámků, míra zhodnocení a přínosu pro specializovaný archiv, zřízený podle § 51 zákona </w:t>
      </w:r>
      <w:r w:rsidR="003A7B82" w:rsidRPr="00065049">
        <w:rPr>
          <w:rFonts w:ascii="Times New Roman" w:hAnsi="Times New Roman"/>
        </w:rPr>
        <w:br/>
      </w:r>
      <w:r w:rsidRPr="00065049">
        <w:rPr>
          <w:rFonts w:ascii="Times New Roman" w:hAnsi="Times New Roman"/>
        </w:rPr>
        <w:t>č. 499/2004 Sb</w:t>
      </w:r>
      <w:r w:rsidR="00D16F62" w:rsidRPr="00065049">
        <w:rPr>
          <w:rFonts w:ascii="Times New Roman" w:hAnsi="Times New Roman"/>
        </w:rPr>
        <w:t>., o archivnictví a spisové službě a o změně některých zákonů</w:t>
      </w:r>
      <w:r w:rsidRPr="00065049">
        <w:rPr>
          <w:rFonts w:ascii="Times New Roman" w:hAnsi="Times New Roman"/>
        </w:rPr>
        <w:t>. Dále oprávněnost finančních požadavků s ohledem na tržní cenu předmětu akvizice, pokud ji lze určit či dovodit. Prostředky přidělené kapitole nařízením vlády neumožňují vyčlenit objem prostředků, který by umožnil efektivní krytí potřeb tohoto programu. Přestože jsou výdaje programu rozpočtovány v nulové výši, zůstává v delším časovém horizontu jedním z nejdůležitějších nástrojů zejména pro sbírkotvornou činnost organizací.</w:t>
      </w:r>
    </w:p>
    <w:p w14:paraId="513478F1" w14:textId="77777777" w:rsidR="003A7B82" w:rsidRPr="00065049" w:rsidRDefault="003A7B82" w:rsidP="00E82302">
      <w:pPr>
        <w:spacing w:before="120" w:line="240" w:lineRule="auto"/>
        <w:rPr>
          <w:rFonts w:ascii="Times New Roman" w:hAnsi="Times New Roman"/>
          <w:i/>
        </w:rPr>
      </w:pPr>
      <w:r w:rsidRPr="00065049">
        <w:rPr>
          <w:rFonts w:ascii="Times New Roman" w:hAnsi="Times New Roman"/>
          <w:i/>
        </w:rPr>
        <w:t>Preventivní ochrana před nepříznivými vlivy prostředí</w:t>
      </w:r>
      <w:r w:rsidRPr="00065049">
        <w:rPr>
          <w:rFonts w:ascii="Times New Roman" w:hAnsi="Times New Roman"/>
          <w:i/>
        </w:rPr>
        <w:tab/>
      </w:r>
      <w:r w:rsidRPr="00065049">
        <w:rPr>
          <w:rFonts w:ascii="Times New Roman" w:hAnsi="Times New Roman"/>
          <w:i/>
        </w:rPr>
        <w:tab/>
      </w:r>
      <w:r w:rsidRPr="00065049">
        <w:rPr>
          <w:rFonts w:ascii="Times New Roman" w:hAnsi="Times New Roman"/>
          <w:i/>
        </w:rPr>
        <w:tab/>
      </w:r>
      <w:r w:rsidR="00B81A8D" w:rsidRPr="00065049">
        <w:rPr>
          <w:rFonts w:ascii="Times New Roman" w:hAnsi="Times New Roman"/>
          <w:i/>
        </w:rPr>
        <w:t>    </w:t>
      </w:r>
      <w:r w:rsidR="00386A2C" w:rsidRPr="00065049">
        <w:rPr>
          <w:rFonts w:ascii="Times New Roman" w:hAnsi="Times New Roman"/>
          <w:i/>
        </w:rPr>
        <w:t>     </w:t>
      </w:r>
      <w:r w:rsidR="00F95EC0" w:rsidRPr="00065049">
        <w:rPr>
          <w:rFonts w:ascii="Times New Roman" w:hAnsi="Times New Roman"/>
          <w:i/>
        </w:rPr>
        <w:t>1</w:t>
      </w:r>
      <w:r w:rsidR="00AA780F" w:rsidRPr="00065049">
        <w:rPr>
          <w:rFonts w:ascii="Times New Roman" w:hAnsi="Times New Roman"/>
          <w:i/>
        </w:rPr>
        <w:t>5</w:t>
      </w:r>
      <w:r w:rsidR="00386A2C" w:rsidRPr="00065049">
        <w:rPr>
          <w:rFonts w:ascii="Times New Roman" w:hAnsi="Times New Roman"/>
          <w:i/>
        </w:rPr>
        <w:t> </w:t>
      </w:r>
      <w:r w:rsidRPr="00065049">
        <w:rPr>
          <w:rFonts w:ascii="Times New Roman" w:hAnsi="Times New Roman"/>
          <w:i/>
        </w:rPr>
        <w:t>000</w:t>
      </w:r>
      <w:r w:rsidR="00386A2C" w:rsidRPr="00065049">
        <w:rPr>
          <w:rFonts w:ascii="Times New Roman" w:hAnsi="Times New Roman"/>
          <w:i/>
        </w:rPr>
        <w:t> </w:t>
      </w:r>
      <w:r w:rsidRPr="00065049">
        <w:rPr>
          <w:rFonts w:ascii="Times New Roman" w:hAnsi="Times New Roman"/>
          <w:i/>
        </w:rPr>
        <w:t>000</w:t>
      </w:r>
      <w:r w:rsidR="00386A2C" w:rsidRPr="00065049">
        <w:rPr>
          <w:rFonts w:ascii="Times New Roman" w:hAnsi="Times New Roman"/>
          <w:i/>
        </w:rPr>
        <w:t> </w:t>
      </w:r>
      <w:r w:rsidRPr="00065049">
        <w:rPr>
          <w:rFonts w:ascii="Times New Roman" w:hAnsi="Times New Roman"/>
          <w:i/>
        </w:rPr>
        <w:t>Kč</w:t>
      </w:r>
    </w:p>
    <w:p w14:paraId="513478F2" w14:textId="77777777" w:rsidR="003A7B82" w:rsidRPr="00065049" w:rsidRDefault="003A7B82" w:rsidP="000F6720">
      <w:pPr>
        <w:pStyle w:val="Zhlav"/>
        <w:spacing w:before="120"/>
        <w:rPr>
          <w:rFonts w:ascii="Times New Roman" w:hAnsi="Times New Roman"/>
        </w:rPr>
      </w:pPr>
      <w:r w:rsidRPr="00065049">
        <w:rPr>
          <w:rFonts w:ascii="Times New Roman" w:hAnsi="Times New Roman"/>
        </w:rPr>
        <w:t>Finanční prostředky investiční a neinvestiční povahy v této části programu se poskytují:</w:t>
      </w:r>
    </w:p>
    <w:p w14:paraId="513478F3" w14:textId="77777777" w:rsidR="003A7B82" w:rsidRPr="00065049" w:rsidRDefault="003A7B82" w:rsidP="008178EB">
      <w:pPr>
        <w:pStyle w:val="Zhlav"/>
        <w:numPr>
          <w:ilvl w:val="0"/>
          <w:numId w:val="3"/>
        </w:numPr>
        <w:ind w:left="714" w:hanging="357"/>
        <w:rPr>
          <w:rFonts w:ascii="Times New Roman" w:hAnsi="Times New Roman"/>
        </w:rPr>
      </w:pPr>
      <w:r w:rsidRPr="00065049">
        <w:rPr>
          <w:rFonts w:ascii="Times New Roman" w:hAnsi="Times New Roman"/>
        </w:rPr>
        <w:t>na vybavení a zkvalitňování restaurátorských, konzervátorských a preparátorských pracovišť muzeí a galerií, uvedených v příloze č. 5 vyhlášky č. 275/2000 Sb.,</w:t>
      </w:r>
      <w:r w:rsidR="00D16F62" w:rsidRPr="00065049">
        <w:rPr>
          <w:rFonts w:ascii="Times New Roman" w:hAnsi="Times New Roman"/>
        </w:rPr>
        <w:t xml:space="preserve"> </w:t>
      </w:r>
      <w:r w:rsidR="00A06F71" w:rsidRPr="00065049">
        <w:rPr>
          <w:rFonts w:ascii="Times New Roman" w:hAnsi="Times New Roman"/>
        </w:rPr>
        <w:br/>
      </w:r>
      <w:r w:rsidR="00D16F62" w:rsidRPr="00065049">
        <w:rPr>
          <w:rFonts w:ascii="Times New Roman" w:hAnsi="Times New Roman"/>
        </w:rPr>
        <w:t xml:space="preserve">o ochraně sbírek muzejní povahy, </w:t>
      </w:r>
      <w:r w:rsidRPr="00065049">
        <w:rPr>
          <w:rFonts w:ascii="Times New Roman" w:hAnsi="Times New Roman"/>
        </w:rPr>
        <w:t xml:space="preserve">kterou se provádí zákon č. 122/2000 Sb., o ochraně sbírek muzejní povahy a o změně některých dalších zákonů, </w:t>
      </w:r>
    </w:p>
    <w:p w14:paraId="513478F4" w14:textId="77777777" w:rsidR="003A7B82" w:rsidRPr="00065049" w:rsidRDefault="003A7B82" w:rsidP="008178EB">
      <w:pPr>
        <w:pStyle w:val="Zhlav"/>
        <w:numPr>
          <w:ilvl w:val="0"/>
          <w:numId w:val="3"/>
        </w:numPr>
        <w:ind w:left="714" w:hanging="357"/>
        <w:rPr>
          <w:rFonts w:ascii="Times New Roman" w:hAnsi="Times New Roman"/>
        </w:rPr>
      </w:pPr>
      <w:r w:rsidRPr="00065049">
        <w:rPr>
          <w:rFonts w:ascii="Times New Roman" w:hAnsi="Times New Roman"/>
        </w:rPr>
        <w:t>na vybavení depozitářů a stálých expozic, v nichž jsou dlouhodobě uchovávány sbírky zapsané v CES, potřebnou technikou (bezpečnostní vitríny, regály, měřicí přístroje, odvlhčovače, zavlhčovače apod.),</w:t>
      </w:r>
    </w:p>
    <w:p w14:paraId="513478F5" w14:textId="77777777" w:rsidR="003A7B82" w:rsidRPr="00065049" w:rsidRDefault="003A7B82" w:rsidP="008178EB">
      <w:pPr>
        <w:pStyle w:val="Zhlav"/>
        <w:numPr>
          <w:ilvl w:val="0"/>
          <w:numId w:val="3"/>
        </w:numPr>
        <w:ind w:left="714" w:hanging="357"/>
        <w:rPr>
          <w:rFonts w:ascii="Times New Roman" w:hAnsi="Times New Roman"/>
        </w:rPr>
      </w:pPr>
      <w:r w:rsidRPr="00065049">
        <w:rPr>
          <w:rFonts w:ascii="Times New Roman" w:hAnsi="Times New Roman"/>
        </w:rPr>
        <w:t>na vybavení centrálních depozitářů Národního památkového ústavu, v nichž jsou dlouhodobě uloženy kulturní památky, potřebnou technikou (bezpečnostní vitríny, regály, měřicí přístroje, odvlhčovače, zavlhčovače apod.)</w:t>
      </w:r>
    </w:p>
    <w:p w14:paraId="513478F6" w14:textId="77777777" w:rsidR="003A7B82" w:rsidRPr="00065049" w:rsidRDefault="003A7B82" w:rsidP="008178EB">
      <w:pPr>
        <w:pStyle w:val="Zhlav"/>
        <w:numPr>
          <w:ilvl w:val="0"/>
          <w:numId w:val="3"/>
        </w:numPr>
        <w:ind w:left="714" w:hanging="357"/>
        <w:rPr>
          <w:rFonts w:ascii="Times New Roman" w:hAnsi="Times New Roman"/>
        </w:rPr>
      </w:pPr>
      <w:r w:rsidRPr="00065049">
        <w:rPr>
          <w:rFonts w:ascii="Times New Roman" w:hAnsi="Times New Roman"/>
        </w:rPr>
        <w:t>na náročné restaurování, konzervování a preparování sbírkových předmětů ze sbírek zapsaných v CES.</w:t>
      </w:r>
    </w:p>
    <w:p w14:paraId="513478F7" w14:textId="77777777" w:rsidR="003A7B82" w:rsidRPr="00065049" w:rsidRDefault="003A7B82" w:rsidP="000F6720">
      <w:pPr>
        <w:pStyle w:val="Zhlav"/>
        <w:spacing w:before="120"/>
        <w:rPr>
          <w:rFonts w:ascii="Times New Roman" w:hAnsi="Times New Roman"/>
        </w:rPr>
      </w:pPr>
      <w:r w:rsidRPr="00065049">
        <w:rPr>
          <w:rFonts w:ascii="Times New Roman" w:hAnsi="Times New Roman"/>
        </w:rPr>
        <w:t>Kritériem při hodnocení žádosti o poskytnutí finančních prostředků v případě vybavování</w:t>
      </w:r>
      <w:r w:rsidRPr="00065049">
        <w:rPr>
          <w:rFonts w:ascii="Times New Roman" w:hAnsi="Times New Roman"/>
        </w:rPr>
        <w:br/>
        <w:t>a zkvalitňování restaurátorských, konzervátorských a preparátorských pracovišť je množství</w:t>
      </w:r>
      <w:r w:rsidRPr="00065049">
        <w:rPr>
          <w:rFonts w:ascii="Times New Roman" w:hAnsi="Times New Roman"/>
        </w:rPr>
        <w:br/>
        <w:t xml:space="preserve">a náročnost odborné pomoci a služeb poskytnutých podle § 10, odst. 1, zákona </w:t>
      </w:r>
      <w:r w:rsidR="00A06F71" w:rsidRPr="00065049">
        <w:rPr>
          <w:rFonts w:ascii="Times New Roman" w:hAnsi="Times New Roman"/>
        </w:rPr>
        <w:br/>
      </w:r>
      <w:r w:rsidRPr="00065049">
        <w:rPr>
          <w:rFonts w:ascii="Times New Roman" w:hAnsi="Times New Roman"/>
        </w:rPr>
        <w:t>č. 122/2000 Sb.,</w:t>
      </w:r>
      <w:r w:rsidR="00D16F62" w:rsidRPr="00065049">
        <w:rPr>
          <w:rFonts w:ascii="Times New Roman" w:hAnsi="Times New Roman"/>
        </w:rPr>
        <w:t xml:space="preserve"> o ochraně sbírek muzejní povahy a o změně některých dalších zákonů,</w:t>
      </w:r>
      <w:r w:rsidRPr="00065049">
        <w:rPr>
          <w:rFonts w:ascii="Times New Roman" w:hAnsi="Times New Roman"/>
        </w:rPr>
        <w:t xml:space="preserve"> v případě vybavování a zkvalitňování restaurátorských, konzervátorských</w:t>
      </w:r>
      <w:r w:rsidR="00D16F62" w:rsidRPr="00065049">
        <w:rPr>
          <w:rFonts w:ascii="Times New Roman" w:hAnsi="Times New Roman"/>
        </w:rPr>
        <w:t xml:space="preserve"> </w:t>
      </w:r>
      <w:r w:rsidRPr="00065049">
        <w:rPr>
          <w:rFonts w:ascii="Times New Roman" w:hAnsi="Times New Roman"/>
        </w:rPr>
        <w:t>a preparátorských pracovišť a vybavování depozitářů a stálých expozic oprávněnost potřeby zařízení/vybavení, jeho vhodnost pro konkrétní muzeum a typ sbírky, míra využití</w:t>
      </w:r>
      <w:r w:rsidRPr="00065049">
        <w:rPr>
          <w:rFonts w:ascii="Times New Roman" w:hAnsi="Times New Roman"/>
        </w:rPr>
        <w:br/>
        <w:t>a přiměřenost ceny, v případě vybavování depozitářů a stálých expozic a náročného restaurování, konzervování a preparování sbírkových předmětů rozpracovanost, tj. pokračování akce z předchozích let, a v případě náročného restaurování, konzervování</w:t>
      </w:r>
      <w:r w:rsidRPr="00065049">
        <w:rPr>
          <w:rFonts w:ascii="Times New Roman" w:hAnsi="Times New Roman"/>
        </w:rPr>
        <w:br/>
      </w:r>
      <w:r w:rsidRPr="00065049">
        <w:rPr>
          <w:rFonts w:ascii="Times New Roman" w:hAnsi="Times New Roman"/>
        </w:rPr>
        <w:lastRenderedPageBreak/>
        <w:t>a preparování sbírkových předmětů vhodnost navrhovaných restaurátorských, konzervátorských či preparátorských zásahů s ohledem na povahu, typ a míru poškození předmětů či sbírek a přiměřenost ceny těchto zásahů.</w:t>
      </w:r>
    </w:p>
    <w:p w14:paraId="513478F8" w14:textId="77777777" w:rsidR="003A7B82" w:rsidRPr="00065049" w:rsidRDefault="003A7B82" w:rsidP="00E82302">
      <w:pPr>
        <w:spacing w:before="120" w:line="240" w:lineRule="auto"/>
        <w:rPr>
          <w:rFonts w:ascii="Times New Roman" w:hAnsi="Times New Roman"/>
          <w:i/>
        </w:rPr>
      </w:pPr>
      <w:r w:rsidRPr="00065049">
        <w:rPr>
          <w:rFonts w:ascii="Times New Roman" w:hAnsi="Times New Roman"/>
          <w:i/>
        </w:rPr>
        <w:t xml:space="preserve">Uplatnění předkupního práva státu </w:t>
      </w:r>
      <w:r w:rsidRPr="00065049">
        <w:rPr>
          <w:rFonts w:ascii="Times New Roman" w:hAnsi="Times New Roman"/>
          <w:i/>
        </w:rPr>
        <w:tab/>
      </w:r>
      <w:r w:rsidRPr="00065049">
        <w:rPr>
          <w:rFonts w:ascii="Times New Roman" w:hAnsi="Times New Roman"/>
          <w:i/>
        </w:rPr>
        <w:tab/>
      </w:r>
      <w:r w:rsidRPr="00065049">
        <w:rPr>
          <w:rFonts w:ascii="Times New Roman" w:hAnsi="Times New Roman"/>
          <w:i/>
        </w:rPr>
        <w:tab/>
      </w:r>
      <w:r w:rsidRPr="00065049">
        <w:rPr>
          <w:rFonts w:ascii="Times New Roman" w:hAnsi="Times New Roman"/>
          <w:i/>
        </w:rPr>
        <w:tab/>
      </w:r>
      <w:r w:rsidRPr="00065049">
        <w:rPr>
          <w:rFonts w:ascii="Times New Roman" w:hAnsi="Times New Roman"/>
          <w:i/>
        </w:rPr>
        <w:tab/>
      </w:r>
      <w:r w:rsidRPr="00065049">
        <w:rPr>
          <w:rFonts w:ascii="Times New Roman" w:hAnsi="Times New Roman"/>
          <w:i/>
        </w:rPr>
        <w:tab/>
      </w:r>
      <w:r w:rsidR="00B81A8D" w:rsidRPr="00065049">
        <w:rPr>
          <w:rFonts w:ascii="Times New Roman" w:hAnsi="Times New Roman"/>
          <w:i/>
        </w:rPr>
        <w:t>     </w:t>
      </w:r>
      <w:r w:rsidR="00386A2C" w:rsidRPr="00065049">
        <w:rPr>
          <w:rFonts w:ascii="Times New Roman" w:hAnsi="Times New Roman"/>
          <w:i/>
        </w:rPr>
        <w:t>     </w:t>
      </w:r>
      <w:r w:rsidR="00B81A8D" w:rsidRPr="00065049">
        <w:rPr>
          <w:rFonts w:ascii="Times New Roman" w:hAnsi="Times New Roman"/>
          <w:i/>
        </w:rPr>
        <w:t> </w:t>
      </w:r>
      <w:r w:rsidRPr="00065049">
        <w:rPr>
          <w:rFonts w:ascii="Times New Roman" w:hAnsi="Times New Roman"/>
          <w:i/>
        </w:rPr>
        <w:t>2</w:t>
      </w:r>
      <w:r w:rsidR="00386A2C" w:rsidRPr="00065049">
        <w:rPr>
          <w:rFonts w:ascii="Times New Roman" w:hAnsi="Times New Roman"/>
          <w:i/>
        </w:rPr>
        <w:t> </w:t>
      </w:r>
      <w:r w:rsidR="00AA780F" w:rsidRPr="00065049">
        <w:rPr>
          <w:rFonts w:ascii="Times New Roman" w:hAnsi="Times New Roman"/>
          <w:i/>
        </w:rPr>
        <w:t>1</w:t>
      </w:r>
      <w:r w:rsidRPr="00065049">
        <w:rPr>
          <w:rFonts w:ascii="Times New Roman" w:hAnsi="Times New Roman"/>
          <w:i/>
        </w:rPr>
        <w:t>00</w:t>
      </w:r>
      <w:r w:rsidR="00386A2C" w:rsidRPr="00065049">
        <w:rPr>
          <w:rFonts w:ascii="Times New Roman" w:hAnsi="Times New Roman"/>
          <w:i/>
        </w:rPr>
        <w:t> </w:t>
      </w:r>
      <w:r w:rsidRPr="00065049">
        <w:rPr>
          <w:rFonts w:ascii="Times New Roman" w:hAnsi="Times New Roman"/>
          <w:i/>
        </w:rPr>
        <w:t>000</w:t>
      </w:r>
      <w:r w:rsidR="00386A2C" w:rsidRPr="00065049">
        <w:rPr>
          <w:rFonts w:ascii="Times New Roman" w:hAnsi="Times New Roman"/>
          <w:i/>
        </w:rPr>
        <w:t> </w:t>
      </w:r>
      <w:r w:rsidRPr="00065049">
        <w:rPr>
          <w:rFonts w:ascii="Times New Roman" w:hAnsi="Times New Roman"/>
          <w:i/>
        </w:rPr>
        <w:t>Kč</w:t>
      </w:r>
    </w:p>
    <w:p w14:paraId="513478F9" w14:textId="77777777" w:rsidR="003A7B82" w:rsidRPr="00065049" w:rsidRDefault="003A7B82" w:rsidP="000F6720">
      <w:pPr>
        <w:pStyle w:val="Zhlav"/>
        <w:spacing w:before="120"/>
        <w:rPr>
          <w:rFonts w:ascii="Times New Roman" w:hAnsi="Times New Roman"/>
        </w:rPr>
      </w:pPr>
      <w:r w:rsidRPr="00065049">
        <w:rPr>
          <w:rFonts w:ascii="Times New Roman" w:hAnsi="Times New Roman"/>
        </w:rPr>
        <w:t>Cílem programu je financování výkupu movitých věcí, popřípadě jejich souborů, prohlášených za kulturní památky podle zákona č. 20/1987 Sb.</w:t>
      </w:r>
      <w:r w:rsidR="00D16F62" w:rsidRPr="00065049">
        <w:rPr>
          <w:rFonts w:ascii="Times New Roman" w:hAnsi="Times New Roman"/>
        </w:rPr>
        <w:t>, o státní památkové péči</w:t>
      </w:r>
      <w:r w:rsidRPr="00065049">
        <w:rPr>
          <w:rFonts w:ascii="Times New Roman" w:hAnsi="Times New Roman"/>
        </w:rPr>
        <w:t xml:space="preserve"> </w:t>
      </w:r>
      <w:r w:rsidR="000C3254" w:rsidRPr="00065049">
        <w:rPr>
          <w:rFonts w:ascii="Times New Roman" w:hAnsi="Times New Roman"/>
        </w:rPr>
        <w:br/>
      </w:r>
      <w:r w:rsidRPr="00065049">
        <w:rPr>
          <w:rFonts w:ascii="Times New Roman" w:hAnsi="Times New Roman"/>
        </w:rPr>
        <w:t>a prohlášených za národní kulturní památky podle zákona č. 20/1987 Sb.</w:t>
      </w:r>
      <w:r w:rsidR="00D16F62" w:rsidRPr="00065049">
        <w:rPr>
          <w:rFonts w:ascii="Times New Roman" w:hAnsi="Times New Roman"/>
        </w:rPr>
        <w:t>, o státní památkové péči.</w:t>
      </w:r>
    </w:p>
    <w:p w14:paraId="513478FA" w14:textId="77777777" w:rsidR="003A7B82" w:rsidRPr="00065049" w:rsidRDefault="003A7B82" w:rsidP="000F6720">
      <w:pPr>
        <w:pStyle w:val="Zhlav"/>
        <w:spacing w:before="120"/>
        <w:rPr>
          <w:rFonts w:ascii="Times New Roman" w:hAnsi="Times New Roman"/>
        </w:rPr>
      </w:pPr>
      <w:r w:rsidRPr="00065049">
        <w:rPr>
          <w:rFonts w:ascii="Times New Roman" w:hAnsi="Times New Roman"/>
        </w:rPr>
        <w:t>Finanční prostředky jsou primárně určeny pro výkup věcí k doplnění souborů historických  mobiliářů, zejména hradů a zámků s příslušností hospodařit pro Národní památkový ústav, na zakoupení předmětů do sbírky muzejní povahy nebo k zakoupení významných předmětů pro organizace v působnosti Ministerstva kultury. Z pohledu státní památkové péče by se mělo jednat především o:</w:t>
      </w:r>
    </w:p>
    <w:p w14:paraId="513478FB" w14:textId="77777777" w:rsidR="003A7B82" w:rsidRPr="00065049" w:rsidRDefault="003A7B82" w:rsidP="00A06F71">
      <w:pPr>
        <w:pStyle w:val="Zhlav"/>
        <w:numPr>
          <w:ilvl w:val="0"/>
          <w:numId w:val="4"/>
        </w:numPr>
        <w:ind w:left="436"/>
        <w:rPr>
          <w:rFonts w:ascii="Times New Roman" w:hAnsi="Times New Roman"/>
        </w:rPr>
      </w:pPr>
      <w:r w:rsidRPr="00065049">
        <w:rPr>
          <w:rFonts w:ascii="Times New Roman" w:hAnsi="Times New Roman"/>
        </w:rPr>
        <w:t>předměty, které jsou stěžejní pro památkové objekty Národního památkového ústavu (adekvátní náhrada za nedochované původní předměty, popřípadě za předměty vydané</w:t>
      </w:r>
      <w:r w:rsidRPr="00065049">
        <w:rPr>
          <w:rFonts w:ascii="Times New Roman" w:hAnsi="Times New Roman"/>
        </w:rPr>
        <w:br/>
        <w:t>v restitucích).</w:t>
      </w:r>
    </w:p>
    <w:p w14:paraId="513478FC" w14:textId="77777777" w:rsidR="003A7B82" w:rsidRPr="00065049" w:rsidRDefault="003A7B82" w:rsidP="00A06F71">
      <w:pPr>
        <w:pStyle w:val="Zhlav"/>
        <w:numPr>
          <w:ilvl w:val="0"/>
          <w:numId w:val="4"/>
        </w:numPr>
        <w:ind w:left="436"/>
        <w:rPr>
          <w:rFonts w:ascii="Times New Roman" w:hAnsi="Times New Roman"/>
        </w:rPr>
      </w:pPr>
      <w:r w:rsidRPr="00065049">
        <w:rPr>
          <w:rFonts w:ascii="Times New Roman" w:hAnsi="Times New Roman"/>
        </w:rPr>
        <w:t>mimořádné a významné akvizice pro ostatní státní organizace zřizované Ministerstvem kultury.</w:t>
      </w:r>
    </w:p>
    <w:p w14:paraId="513478FD" w14:textId="77777777" w:rsidR="003A7B82" w:rsidRPr="00065049" w:rsidRDefault="003A7B82" w:rsidP="00A06F71">
      <w:pPr>
        <w:spacing w:line="240" w:lineRule="auto"/>
        <w:rPr>
          <w:rFonts w:ascii="Times New Roman" w:hAnsi="Times New Roman"/>
          <w:lang w:eastAsia="en-US"/>
        </w:rPr>
      </w:pPr>
    </w:p>
    <w:p w14:paraId="513478FE" w14:textId="77777777" w:rsidR="003A7B82" w:rsidRPr="00065049" w:rsidRDefault="003A7B82" w:rsidP="00A06F71">
      <w:pPr>
        <w:spacing w:line="240" w:lineRule="auto"/>
        <w:rPr>
          <w:rFonts w:ascii="Times New Roman" w:hAnsi="Times New Roman"/>
          <w:b/>
        </w:rPr>
      </w:pPr>
      <w:r w:rsidRPr="00065049">
        <w:rPr>
          <w:rFonts w:ascii="Times New Roman" w:hAnsi="Times New Roman"/>
          <w:b/>
        </w:rPr>
        <w:t>b)</w:t>
      </w:r>
      <w:r w:rsidRPr="00065049">
        <w:rPr>
          <w:rFonts w:ascii="Times New Roman" w:hAnsi="Times New Roman"/>
          <w:b/>
        </w:rPr>
        <w:tab/>
        <w:t>programy na záchranu a obnovu kulturních památek</w:t>
      </w:r>
      <w:r w:rsidRPr="00065049">
        <w:rPr>
          <w:rFonts w:ascii="Times New Roman" w:hAnsi="Times New Roman"/>
          <w:b/>
        </w:rPr>
        <w:tab/>
      </w:r>
      <w:r w:rsidRPr="00065049">
        <w:rPr>
          <w:rFonts w:ascii="Times New Roman" w:hAnsi="Times New Roman"/>
          <w:b/>
        </w:rPr>
        <w:tab/>
        <w:t>       </w:t>
      </w:r>
      <w:r w:rsidR="0088241E" w:rsidRPr="00065049">
        <w:rPr>
          <w:rFonts w:ascii="Times New Roman" w:hAnsi="Times New Roman"/>
          <w:b/>
        </w:rPr>
        <w:t>658</w:t>
      </w:r>
      <w:r w:rsidRPr="00065049">
        <w:rPr>
          <w:rFonts w:ascii="Times New Roman" w:hAnsi="Times New Roman"/>
          <w:b/>
        </w:rPr>
        <w:t> 000 000 Kč</w:t>
      </w:r>
    </w:p>
    <w:p w14:paraId="513478FF" w14:textId="77777777" w:rsidR="003A7B82" w:rsidRPr="00065049" w:rsidRDefault="008178EB" w:rsidP="00E53644">
      <w:pPr>
        <w:spacing w:before="120" w:line="240" w:lineRule="auto"/>
        <w:rPr>
          <w:rFonts w:ascii="Times New Roman" w:hAnsi="Times New Roman"/>
          <w:lang w:eastAsia="en-US"/>
        </w:rPr>
      </w:pPr>
      <w:r w:rsidRPr="00065049">
        <w:rPr>
          <w:rFonts w:ascii="Times New Roman" w:hAnsi="Times New Roman"/>
          <w:lang w:eastAsia="en-US"/>
        </w:rPr>
        <w:t xml:space="preserve">Ve srovnání s rozpočtem roku 2015 je </w:t>
      </w:r>
      <w:r w:rsidR="002512D9">
        <w:rPr>
          <w:rFonts w:ascii="Times New Roman" w:hAnsi="Times New Roman"/>
          <w:lang w:eastAsia="en-US"/>
        </w:rPr>
        <w:t xml:space="preserve">schválený </w:t>
      </w:r>
      <w:r w:rsidRPr="00065049">
        <w:rPr>
          <w:rFonts w:ascii="Times New Roman" w:hAnsi="Times New Roman"/>
          <w:lang w:eastAsia="en-US"/>
        </w:rPr>
        <w:t>rozpoč</w:t>
      </w:r>
      <w:r w:rsidR="002512D9">
        <w:rPr>
          <w:rFonts w:ascii="Times New Roman" w:hAnsi="Times New Roman"/>
          <w:lang w:eastAsia="en-US"/>
        </w:rPr>
        <w:t>e</w:t>
      </w:r>
      <w:r w:rsidRPr="00065049">
        <w:rPr>
          <w:rFonts w:ascii="Times New Roman" w:hAnsi="Times New Roman"/>
          <w:lang w:eastAsia="en-US"/>
        </w:rPr>
        <w:t xml:space="preserve">t na rok 2016 o </w:t>
      </w:r>
      <w:r w:rsidR="0088241E" w:rsidRPr="00065049">
        <w:rPr>
          <w:rFonts w:ascii="Times New Roman" w:hAnsi="Times New Roman"/>
          <w:lang w:eastAsia="en-US"/>
        </w:rPr>
        <w:t>148</w:t>
      </w:r>
      <w:r w:rsidRPr="00065049">
        <w:rPr>
          <w:rFonts w:ascii="Times New Roman" w:hAnsi="Times New Roman"/>
          <w:lang w:eastAsia="en-US"/>
        </w:rPr>
        <w:t xml:space="preserve"> 000 tis. Kč </w:t>
      </w:r>
      <w:r w:rsidR="0088241E" w:rsidRPr="00065049">
        <w:rPr>
          <w:rFonts w:ascii="Times New Roman" w:hAnsi="Times New Roman"/>
          <w:lang w:eastAsia="en-US"/>
        </w:rPr>
        <w:t>vyšší</w:t>
      </w:r>
      <w:r w:rsidRPr="00065049">
        <w:rPr>
          <w:rFonts w:ascii="Times New Roman" w:hAnsi="Times New Roman"/>
          <w:lang w:eastAsia="en-US"/>
        </w:rPr>
        <w:t>.</w:t>
      </w:r>
    </w:p>
    <w:p w14:paraId="51347900" w14:textId="77777777" w:rsidR="003A7B82" w:rsidRPr="00065049" w:rsidRDefault="003A7B82" w:rsidP="00E82302">
      <w:pPr>
        <w:spacing w:before="120" w:line="240" w:lineRule="auto"/>
        <w:rPr>
          <w:rFonts w:ascii="Times New Roman" w:hAnsi="Times New Roman"/>
          <w:u w:val="single"/>
        </w:rPr>
      </w:pPr>
      <w:r w:rsidRPr="00065049">
        <w:rPr>
          <w:rFonts w:ascii="Times New Roman" w:hAnsi="Times New Roman"/>
          <w:u w:val="single"/>
        </w:rPr>
        <w:t>Program záchrany architektonického dědictví</w:t>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00596C47" w:rsidRPr="00065049">
        <w:rPr>
          <w:rFonts w:ascii="Times New Roman" w:hAnsi="Times New Roman"/>
          <w:u w:val="single"/>
        </w:rPr>
        <w:tab/>
      </w:r>
      <w:r w:rsidRPr="00065049">
        <w:rPr>
          <w:rFonts w:ascii="Times New Roman" w:hAnsi="Times New Roman"/>
          <w:u w:val="single"/>
        </w:rPr>
        <w:t>      </w:t>
      </w:r>
      <w:r w:rsidR="00AA780F" w:rsidRPr="00065049">
        <w:rPr>
          <w:rFonts w:ascii="Times New Roman" w:hAnsi="Times New Roman"/>
          <w:u w:val="single"/>
        </w:rPr>
        <w:t>1</w:t>
      </w:r>
      <w:r w:rsidR="00B76F0D" w:rsidRPr="00065049">
        <w:rPr>
          <w:rFonts w:ascii="Times New Roman" w:hAnsi="Times New Roman"/>
          <w:u w:val="single"/>
        </w:rPr>
        <w:t>9</w:t>
      </w:r>
      <w:r w:rsidR="00AA780F" w:rsidRPr="00065049">
        <w:rPr>
          <w:rFonts w:ascii="Times New Roman" w:hAnsi="Times New Roman"/>
          <w:u w:val="single"/>
        </w:rPr>
        <w:t>0</w:t>
      </w:r>
      <w:r w:rsidR="00386A2C" w:rsidRPr="00065049">
        <w:rPr>
          <w:rFonts w:ascii="Times New Roman" w:hAnsi="Times New Roman"/>
          <w:u w:val="single"/>
        </w:rPr>
        <w:t> </w:t>
      </w:r>
      <w:r w:rsidR="00AA780F" w:rsidRPr="00065049">
        <w:rPr>
          <w:rFonts w:ascii="Times New Roman" w:hAnsi="Times New Roman"/>
          <w:u w:val="single"/>
        </w:rPr>
        <w:t>000</w:t>
      </w:r>
      <w:r w:rsidR="00386A2C" w:rsidRPr="00065049">
        <w:rPr>
          <w:rFonts w:ascii="Times New Roman" w:hAnsi="Times New Roman"/>
          <w:u w:val="single"/>
        </w:rPr>
        <w:t> </w:t>
      </w:r>
      <w:r w:rsidRPr="00065049">
        <w:rPr>
          <w:rFonts w:ascii="Times New Roman" w:hAnsi="Times New Roman"/>
          <w:u w:val="single"/>
        </w:rPr>
        <w:t>000</w:t>
      </w:r>
      <w:r w:rsidR="00386A2C" w:rsidRPr="00065049">
        <w:rPr>
          <w:rFonts w:ascii="Times New Roman" w:hAnsi="Times New Roman"/>
          <w:u w:val="single"/>
        </w:rPr>
        <w:t> </w:t>
      </w:r>
      <w:r w:rsidRPr="00065049">
        <w:rPr>
          <w:rFonts w:ascii="Times New Roman" w:hAnsi="Times New Roman"/>
          <w:u w:val="single"/>
        </w:rPr>
        <w:t>Kč</w:t>
      </w:r>
    </w:p>
    <w:p w14:paraId="51347901" w14:textId="77777777" w:rsidR="003A7B82" w:rsidRPr="00065049" w:rsidRDefault="003A7B82" w:rsidP="000F6720">
      <w:pPr>
        <w:pStyle w:val="Zhlav"/>
        <w:spacing w:before="120"/>
        <w:rPr>
          <w:rFonts w:ascii="Times New Roman" w:hAnsi="Times New Roman"/>
        </w:rPr>
      </w:pPr>
      <w:r w:rsidRPr="00065049">
        <w:rPr>
          <w:rFonts w:ascii="Times New Roman" w:hAnsi="Times New Roman"/>
        </w:rPr>
        <w:t>Program byl schválen usnesením vlády č. 110/1995 jako dlouhodobé systémové opatření státu směřující k záchraně nejcennějších stavebních památek (hradů, zámků, klášterů, městských paláců apod.) a jejich areálů v ČR, jejichž obnova vyžaduje řádově vyšší finanční příspěvky, než je obvyklé u menších památek, a to s možností víceleté podpory do doby ukončení akce. Finanční prostředky</w:t>
      </w:r>
      <w:r w:rsidRPr="00065049">
        <w:rPr>
          <w:rFonts w:ascii="Times New Roman" w:hAnsi="Times New Roman"/>
          <w:i/>
        </w:rPr>
        <w:t xml:space="preserve"> </w:t>
      </w:r>
      <w:r w:rsidRPr="00065049">
        <w:rPr>
          <w:rFonts w:ascii="Times New Roman" w:hAnsi="Times New Roman"/>
        </w:rPr>
        <w:t xml:space="preserve">programu jsou poskytovány podle § 16 zákona č. 20/1987 Sb., o státní památkové péči, v platném znění. Program váže i na integraci ČR do Evropské unie, </w:t>
      </w:r>
      <w:r w:rsidR="00412836" w:rsidRPr="00065049">
        <w:rPr>
          <w:rFonts w:ascii="Times New Roman" w:hAnsi="Times New Roman"/>
        </w:rPr>
        <w:br/>
      </w:r>
      <w:r w:rsidRPr="00065049">
        <w:rPr>
          <w:rFonts w:ascii="Times New Roman" w:hAnsi="Times New Roman"/>
        </w:rPr>
        <w:t>a to v souvislosti s přistoupením ČR k Úmluvě Rady Evropy o ochraně architektonického dědictví a byl zakotven jako zásadní opatření na úseku památkové péče v Koncepci účinnější péče o památkový fond v ČR schválené usnesením vlády č. 278/98. Program je i nadále jedním z nástrojů, kterým je nahrazováno omezení vlastnictví vlastníkům kulturních památek i dle Koncepce památkové péče v České republice na léta 2011 až 2016 schválené usnesením vlády č. 562 ze dne 20. července 2011.</w:t>
      </w:r>
    </w:p>
    <w:p w14:paraId="51347902" w14:textId="77777777" w:rsidR="003A7B82" w:rsidRPr="00065049" w:rsidRDefault="003A7B82" w:rsidP="00E82302">
      <w:pPr>
        <w:spacing w:before="120" w:line="240" w:lineRule="auto"/>
        <w:rPr>
          <w:rFonts w:ascii="Times New Roman" w:hAnsi="Times New Roman"/>
          <w:u w:val="single"/>
        </w:rPr>
      </w:pPr>
      <w:r w:rsidRPr="00065049">
        <w:rPr>
          <w:rFonts w:ascii="Times New Roman" w:hAnsi="Times New Roman"/>
          <w:u w:val="single"/>
        </w:rPr>
        <w:t xml:space="preserve">Havárie střech </w:t>
      </w:r>
      <w:r w:rsidR="00861C26" w:rsidRPr="00065049">
        <w:rPr>
          <w:rFonts w:ascii="Times New Roman" w:hAnsi="Times New Roman"/>
          <w:u w:val="single"/>
        </w:rPr>
        <w:t xml:space="preserve">kulturních </w:t>
      </w:r>
      <w:r w:rsidRPr="00065049">
        <w:rPr>
          <w:rFonts w:ascii="Times New Roman" w:hAnsi="Times New Roman"/>
          <w:u w:val="single"/>
        </w:rPr>
        <w:t>památek</w:t>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00596C47" w:rsidRPr="00065049">
        <w:rPr>
          <w:rFonts w:ascii="Times New Roman" w:hAnsi="Times New Roman"/>
          <w:u w:val="single"/>
        </w:rPr>
        <w:t>    </w:t>
      </w:r>
      <w:r w:rsidR="00386A2C" w:rsidRPr="00065049">
        <w:rPr>
          <w:rFonts w:ascii="Times New Roman" w:hAnsi="Times New Roman"/>
          <w:i/>
          <w:u w:val="single"/>
        </w:rPr>
        <w:t>    </w:t>
      </w:r>
      <w:r w:rsidRPr="00065049">
        <w:rPr>
          <w:rFonts w:ascii="Times New Roman" w:hAnsi="Times New Roman"/>
          <w:u w:val="single"/>
        </w:rPr>
        <w:t> </w:t>
      </w:r>
      <w:r w:rsidR="0088241E" w:rsidRPr="00065049">
        <w:rPr>
          <w:rFonts w:ascii="Times New Roman" w:hAnsi="Times New Roman"/>
          <w:u w:val="single"/>
        </w:rPr>
        <w:t>7</w:t>
      </w:r>
      <w:r w:rsidR="00AA780F" w:rsidRPr="00065049">
        <w:rPr>
          <w:rFonts w:ascii="Times New Roman" w:hAnsi="Times New Roman"/>
          <w:u w:val="single"/>
        </w:rPr>
        <w:t>5</w:t>
      </w:r>
      <w:r w:rsidR="00386A2C" w:rsidRPr="00065049">
        <w:rPr>
          <w:rFonts w:ascii="Times New Roman" w:hAnsi="Times New Roman"/>
          <w:u w:val="single"/>
        </w:rPr>
        <w:t> </w:t>
      </w:r>
      <w:r w:rsidRPr="00065049">
        <w:rPr>
          <w:rFonts w:ascii="Times New Roman" w:hAnsi="Times New Roman"/>
          <w:u w:val="single"/>
        </w:rPr>
        <w:t>000</w:t>
      </w:r>
      <w:r w:rsidR="00386A2C" w:rsidRPr="00065049">
        <w:rPr>
          <w:rFonts w:ascii="Times New Roman" w:hAnsi="Times New Roman"/>
          <w:u w:val="single"/>
        </w:rPr>
        <w:t> </w:t>
      </w:r>
      <w:r w:rsidRPr="00065049">
        <w:rPr>
          <w:rFonts w:ascii="Times New Roman" w:hAnsi="Times New Roman"/>
          <w:u w:val="single"/>
        </w:rPr>
        <w:t>000</w:t>
      </w:r>
      <w:r w:rsidR="00386A2C" w:rsidRPr="00065049">
        <w:rPr>
          <w:rFonts w:ascii="Times New Roman" w:hAnsi="Times New Roman"/>
          <w:u w:val="single"/>
        </w:rPr>
        <w:t> </w:t>
      </w:r>
      <w:r w:rsidRPr="00065049">
        <w:rPr>
          <w:rFonts w:ascii="Times New Roman" w:hAnsi="Times New Roman"/>
          <w:u w:val="single"/>
        </w:rPr>
        <w:t>Kč</w:t>
      </w:r>
    </w:p>
    <w:p w14:paraId="51347903" w14:textId="77777777" w:rsidR="00202815" w:rsidRDefault="003A7B82" w:rsidP="000F6720">
      <w:pPr>
        <w:pStyle w:val="Zhlav"/>
        <w:spacing w:before="120"/>
        <w:rPr>
          <w:rFonts w:ascii="Times New Roman" w:hAnsi="Times New Roman"/>
        </w:rPr>
      </w:pPr>
      <w:r w:rsidRPr="00065049">
        <w:rPr>
          <w:rFonts w:ascii="Times New Roman" w:hAnsi="Times New Roman"/>
        </w:rPr>
        <w:t>Program byl založen zvláštním opatřením České národní rady v roce 1992. Finanční prostředky</w:t>
      </w:r>
      <w:r w:rsidRPr="00065049">
        <w:rPr>
          <w:rFonts w:ascii="Times New Roman" w:hAnsi="Times New Roman"/>
          <w:i/>
        </w:rPr>
        <w:t xml:space="preserve"> </w:t>
      </w:r>
      <w:r w:rsidRPr="00065049">
        <w:rPr>
          <w:rFonts w:ascii="Times New Roman" w:hAnsi="Times New Roman"/>
        </w:rPr>
        <w:t>programu jsou poskytovány podle § 16 zákona č. 20/1987 Sb., o státní památkové péči, v platném znění, jako finanční příspěvek ze státního rozpočtu na záchranu nemovitých kulturních památek v havarijně technickém stavu, zejména na opravu střech a souvisejících konstrukcí (krovů, okapů apod.) a na zajištění statiky objektu. Jedná se o program dlouhodobý, výše prostředků poskytnutých na program v jednotlivých letech se odvíjí od</w:t>
      </w:r>
      <w:r w:rsidR="00412836" w:rsidRPr="00065049">
        <w:rPr>
          <w:rFonts w:ascii="Times New Roman" w:hAnsi="Times New Roman"/>
        </w:rPr>
        <w:t> </w:t>
      </w:r>
      <w:r w:rsidRPr="00065049">
        <w:rPr>
          <w:rFonts w:ascii="Times New Roman" w:hAnsi="Times New Roman"/>
        </w:rPr>
        <w:t>možností státního rozpočtu</w:t>
      </w:r>
      <w:r w:rsidRPr="00065049">
        <w:rPr>
          <w:rFonts w:ascii="Times New Roman" w:hAnsi="Times New Roman"/>
          <w:b/>
        </w:rPr>
        <w:t>.</w:t>
      </w:r>
      <w:r w:rsidRPr="00065049">
        <w:rPr>
          <w:rFonts w:ascii="Times New Roman" w:hAnsi="Times New Roman"/>
        </w:rPr>
        <w:t xml:space="preserve"> O příspěvek se mohou ucházet vlastníci nemovitých kulturních památek.</w:t>
      </w:r>
    </w:p>
    <w:p w14:paraId="51347904" w14:textId="77777777" w:rsidR="00202815" w:rsidRDefault="00202815">
      <w:pPr>
        <w:spacing w:after="200"/>
        <w:jc w:val="left"/>
        <w:rPr>
          <w:rFonts w:ascii="Times New Roman" w:hAnsi="Times New Roman"/>
        </w:rPr>
      </w:pPr>
      <w:r>
        <w:rPr>
          <w:rFonts w:ascii="Times New Roman" w:hAnsi="Times New Roman"/>
        </w:rPr>
        <w:br w:type="page"/>
      </w:r>
    </w:p>
    <w:p w14:paraId="51347905" w14:textId="77777777" w:rsidR="003A7B82" w:rsidRPr="00065049" w:rsidRDefault="003A7B82" w:rsidP="00E82302">
      <w:pPr>
        <w:spacing w:before="120" w:line="240" w:lineRule="auto"/>
        <w:rPr>
          <w:rFonts w:ascii="Times New Roman" w:hAnsi="Times New Roman"/>
          <w:u w:val="single"/>
        </w:rPr>
      </w:pPr>
      <w:r w:rsidRPr="00065049">
        <w:rPr>
          <w:rFonts w:ascii="Times New Roman" w:hAnsi="Times New Roman"/>
          <w:u w:val="single"/>
        </w:rPr>
        <w:lastRenderedPageBreak/>
        <w:t>Program restaurování movitých kulturních památek</w:t>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00386A2C" w:rsidRPr="00065049">
        <w:rPr>
          <w:rFonts w:ascii="Times New Roman" w:hAnsi="Times New Roman"/>
          <w:i/>
          <w:u w:val="single"/>
        </w:rPr>
        <w:t> </w:t>
      </w:r>
      <w:r w:rsidR="00596C47" w:rsidRPr="00065049">
        <w:rPr>
          <w:rFonts w:ascii="Times New Roman" w:hAnsi="Times New Roman"/>
          <w:u w:val="single"/>
        </w:rPr>
        <w:t>        </w:t>
      </w:r>
      <w:r w:rsidR="00B76F0D" w:rsidRPr="00065049">
        <w:rPr>
          <w:rFonts w:ascii="Times New Roman" w:hAnsi="Times New Roman"/>
          <w:u w:val="single"/>
        </w:rPr>
        <w:t>2</w:t>
      </w:r>
      <w:r w:rsidR="00AA780F" w:rsidRPr="00065049">
        <w:rPr>
          <w:rFonts w:ascii="Times New Roman" w:hAnsi="Times New Roman"/>
          <w:u w:val="single"/>
        </w:rPr>
        <w:t>4</w:t>
      </w:r>
      <w:r w:rsidR="00386A2C" w:rsidRPr="00065049">
        <w:rPr>
          <w:rFonts w:ascii="Times New Roman" w:hAnsi="Times New Roman"/>
          <w:u w:val="single"/>
        </w:rPr>
        <w:t> </w:t>
      </w:r>
      <w:r w:rsidRPr="00065049">
        <w:rPr>
          <w:rFonts w:ascii="Times New Roman" w:hAnsi="Times New Roman"/>
          <w:u w:val="single"/>
        </w:rPr>
        <w:t>000</w:t>
      </w:r>
      <w:r w:rsidR="00386A2C" w:rsidRPr="00065049">
        <w:rPr>
          <w:rFonts w:ascii="Times New Roman" w:hAnsi="Times New Roman"/>
          <w:u w:val="single"/>
        </w:rPr>
        <w:t> </w:t>
      </w:r>
      <w:r w:rsidRPr="00065049">
        <w:rPr>
          <w:rFonts w:ascii="Times New Roman" w:hAnsi="Times New Roman"/>
          <w:u w:val="single"/>
        </w:rPr>
        <w:t>000</w:t>
      </w:r>
      <w:r w:rsidR="00386A2C" w:rsidRPr="00065049">
        <w:rPr>
          <w:rFonts w:ascii="Times New Roman" w:hAnsi="Times New Roman"/>
          <w:u w:val="single"/>
        </w:rPr>
        <w:t> </w:t>
      </w:r>
      <w:r w:rsidRPr="00065049">
        <w:rPr>
          <w:rFonts w:ascii="Times New Roman" w:hAnsi="Times New Roman"/>
          <w:u w:val="single"/>
        </w:rPr>
        <w:t>Kč</w:t>
      </w:r>
    </w:p>
    <w:p w14:paraId="51347906" w14:textId="77777777" w:rsidR="003A7B82" w:rsidRPr="00065049" w:rsidRDefault="003A7B82" w:rsidP="008E4101">
      <w:pPr>
        <w:pStyle w:val="Zhlav"/>
        <w:spacing w:before="120"/>
        <w:rPr>
          <w:rFonts w:ascii="Times New Roman" w:hAnsi="Times New Roman"/>
        </w:rPr>
      </w:pPr>
      <w:r w:rsidRPr="00065049">
        <w:rPr>
          <w:rFonts w:ascii="Times New Roman" w:hAnsi="Times New Roman"/>
          <w:szCs w:val="24"/>
        </w:rPr>
        <w:t>Program</w:t>
      </w:r>
      <w:r w:rsidRPr="00065049">
        <w:rPr>
          <w:rFonts w:ascii="Times New Roman" w:hAnsi="Times New Roman"/>
          <w:b/>
          <w:szCs w:val="24"/>
        </w:rPr>
        <w:t xml:space="preserve"> </w:t>
      </w:r>
      <w:r w:rsidRPr="00065049">
        <w:rPr>
          <w:rFonts w:ascii="Times New Roman" w:hAnsi="Times New Roman"/>
        </w:rPr>
        <w:t>je dlouhodobý a je realizován na základě usnesení vlády ČR č. 426/1997. Jedná se</w:t>
      </w:r>
      <w:r w:rsidR="005F1A01" w:rsidRPr="00065049">
        <w:rPr>
          <w:rFonts w:ascii="Times New Roman" w:hAnsi="Times New Roman"/>
        </w:rPr>
        <w:t xml:space="preserve"> </w:t>
      </w:r>
      <w:r w:rsidRPr="00065049">
        <w:rPr>
          <w:rFonts w:ascii="Times New Roman" w:hAnsi="Times New Roman"/>
        </w:rPr>
        <w:t>o</w:t>
      </w:r>
      <w:r w:rsidR="00065049">
        <w:rPr>
          <w:rFonts w:ascii="Times New Roman" w:hAnsi="Times New Roman"/>
        </w:rPr>
        <w:t> </w:t>
      </w:r>
      <w:r w:rsidRPr="00065049">
        <w:rPr>
          <w:rFonts w:ascii="Times New Roman" w:hAnsi="Times New Roman"/>
        </w:rPr>
        <w:t xml:space="preserve">systémové řešení účasti státu na obnově – restaurování </w:t>
      </w:r>
      <w:r w:rsidR="00A8190B" w:rsidRPr="00065049">
        <w:rPr>
          <w:rFonts w:ascii="Times New Roman" w:hAnsi="Times New Roman"/>
        </w:rPr>
        <w:t>movitých kulturních</w:t>
      </w:r>
      <w:r w:rsidRPr="00065049">
        <w:rPr>
          <w:rFonts w:ascii="Times New Roman" w:hAnsi="Times New Roman"/>
        </w:rPr>
        <w:t xml:space="preserve"> památek </w:t>
      </w:r>
      <w:r w:rsidR="00A8190B" w:rsidRPr="00065049">
        <w:rPr>
          <w:rFonts w:ascii="Times New Roman" w:hAnsi="Times New Roman"/>
        </w:rPr>
        <w:br/>
      </w:r>
      <w:r w:rsidRPr="00065049">
        <w:rPr>
          <w:rFonts w:ascii="Times New Roman" w:hAnsi="Times New Roman"/>
        </w:rPr>
        <w:t>a jejich souborů, které jsou významnými díly výtvarných umění a uměleckořemeslnými pracemi. Účast státu spočívá v odborné bezplatné pomoci vlastníkům kulturních památek při zpracování záměru restaurování a podle možnosti státního rozpočtu v poskytnutí účelového finančního příspěvku na provedení tohoto záměru. Finanční prostředky</w:t>
      </w:r>
      <w:r w:rsidRPr="00065049">
        <w:rPr>
          <w:rFonts w:ascii="Times New Roman" w:hAnsi="Times New Roman"/>
          <w:i/>
        </w:rPr>
        <w:t xml:space="preserve"> </w:t>
      </w:r>
      <w:r w:rsidRPr="00065049">
        <w:rPr>
          <w:rFonts w:ascii="Times New Roman" w:hAnsi="Times New Roman"/>
        </w:rPr>
        <w:t>programu jsou poskytovány podle § 16 zákona č. 20/1987 Sb., o státní památkové péči v platném znění.</w:t>
      </w:r>
      <w:r w:rsidR="008E4101">
        <w:rPr>
          <w:rFonts w:ascii="Times New Roman" w:hAnsi="Times New Roman"/>
        </w:rPr>
        <w:t xml:space="preserve"> </w:t>
      </w:r>
      <w:r w:rsidRPr="00065049">
        <w:rPr>
          <w:rFonts w:ascii="Times New Roman" w:hAnsi="Times New Roman"/>
        </w:rPr>
        <w:t>Program je zakotven jako zásadní opatření na úseku památkové péče v usnesení vlády č.</w:t>
      </w:r>
      <w:r w:rsidR="008E4101">
        <w:rPr>
          <w:rFonts w:ascii="Times New Roman" w:hAnsi="Times New Roman"/>
        </w:rPr>
        <w:t> </w:t>
      </w:r>
      <w:r w:rsidRPr="00065049">
        <w:rPr>
          <w:rFonts w:ascii="Times New Roman" w:hAnsi="Times New Roman"/>
        </w:rPr>
        <w:t>278/98 o Koncepci účinnější péče o památkový fond v ČR. Program je také jedním z nástrojů, kterým je nahrazováno omezení vlastnictví vlastníkům kulturních památek i dle Koncepce památkové péče v České republice na léta 2011 až 2016 schválené usnesením vlády č. 562 ze dne 20. července 2011.</w:t>
      </w:r>
    </w:p>
    <w:p w14:paraId="51347907" w14:textId="77777777" w:rsidR="003A7B82" w:rsidRPr="00065049" w:rsidRDefault="003A7B82" w:rsidP="00E82302">
      <w:pPr>
        <w:spacing w:before="120" w:line="240" w:lineRule="auto"/>
        <w:jc w:val="left"/>
        <w:rPr>
          <w:rFonts w:ascii="Times New Roman" w:hAnsi="Times New Roman"/>
          <w:u w:val="single"/>
        </w:rPr>
      </w:pPr>
      <w:r w:rsidRPr="00065049">
        <w:rPr>
          <w:rFonts w:ascii="Times New Roman" w:hAnsi="Times New Roman"/>
          <w:u w:val="single"/>
        </w:rPr>
        <w:t>Program regenerace městských památkových rezervací</w:t>
      </w:r>
      <w:r w:rsidRPr="00065049">
        <w:rPr>
          <w:rFonts w:ascii="Times New Roman" w:hAnsi="Times New Roman"/>
          <w:u w:val="single"/>
        </w:rPr>
        <w:br/>
        <w:t>a městských památkových zón</w:t>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000A0047" w:rsidRPr="00065049">
        <w:rPr>
          <w:rFonts w:ascii="Times New Roman" w:hAnsi="Times New Roman"/>
          <w:u w:val="single"/>
        </w:rPr>
        <w:tab/>
      </w:r>
      <w:r w:rsidR="005F1A01" w:rsidRPr="00065049">
        <w:rPr>
          <w:rFonts w:ascii="Times New Roman" w:hAnsi="Times New Roman"/>
          <w:u w:val="single"/>
        </w:rPr>
        <w:t>      </w:t>
      </w:r>
      <w:r w:rsidRPr="00065049">
        <w:rPr>
          <w:rFonts w:ascii="Times New Roman" w:hAnsi="Times New Roman"/>
          <w:u w:val="single"/>
        </w:rPr>
        <w:t> 1</w:t>
      </w:r>
      <w:r w:rsidR="00B76F0D" w:rsidRPr="00065049">
        <w:rPr>
          <w:rFonts w:ascii="Times New Roman" w:hAnsi="Times New Roman"/>
          <w:u w:val="single"/>
        </w:rPr>
        <w:t>7</w:t>
      </w:r>
      <w:r w:rsidR="00AA780F" w:rsidRPr="00065049">
        <w:rPr>
          <w:rFonts w:ascii="Times New Roman" w:hAnsi="Times New Roman"/>
          <w:u w:val="single"/>
        </w:rPr>
        <w:t>0</w:t>
      </w:r>
      <w:r w:rsidR="00386A2C" w:rsidRPr="00065049">
        <w:rPr>
          <w:rFonts w:ascii="Times New Roman" w:hAnsi="Times New Roman"/>
          <w:u w:val="single"/>
        </w:rPr>
        <w:t> </w:t>
      </w:r>
      <w:r w:rsidRPr="00065049">
        <w:rPr>
          <w:rFonts w:ascii="Times New Roman" w:hAnsi="Times New Roman"/>
          <w:u w:val="single"/>
        </w:rPr>
        <w:t>000</w:t>
      </w:r>
      <w:r w:rsidR="00386A2C" w:rsidRPr="00065049">
        <w:rPr>
          <w:rFonts w:ascii="Times New Roman" w:hAnsi="Times New Roman"/>
          <w:u w:val="single"/>
        </w:rPr>
        <w:t> </w:t>
      </w:r>
      <w:r w:rsidRPr="00065049">
        <w:rPr>
          <w:rFonts w:ascii="Times New Roman" w:hAnsi="Times New Roman"/>
          <w:u w:val="single"/>
        </w:rPr>
        <w:t>000</w:t>
      </w:r>
      <w:r w:rsidR="00386A2C" w:rsidRPr="00065049">
        <w:rPr>
          <w:rFonts w:ascii="Times New Roman" w:hAnsi="Times New Roman"/>
          <w:u w:val="single"/>
        </w:rPr>
        <w:t> </w:t>
      </w:r>
      <w:r w:rsidRPr="00065049">
        <w:rPr>
          <w:rFonts w:ascii="Times New Roman" w:hAnsi="Times New Roman"/>
          <w:u w:val="single"/>
        </w:rPr>
        <w:t>Kč</w:t>
      </w:r>
    </w:p>
    <w:p w14:paraId="51347908" w14:textId="77777777" w:rsidR="003A7B82" w:rsidRPr="008E4101" w:rsidRDefault="003A7B82" w:rsidP="008E4101">
      <w:pPr>
        <w:pStyle w:val="Zhlav"/>
        <w:spacing w:before="120"/>
        <w:rPr>
          <w:rFonts w:ascii="Times New Roman" w:hAnsi="Times New Roman"/>
          <w:szCs w:val="24"/>
        </w:rPr>
      </w:pPr>
      <w:r w:rsidRPr="008E4101">
        <w:rPr>
          <w:rFonts w:ascii="Times New Roman" w:hAnsi="Times New Roman"/>
          <w:szCs w:val="24"/>
        </w:rPr>
        <w:t>P</w:t>
      </w:r>
      <w:r w:rsidRPr="00065049">
        <w:rPr>
          <w:rFonts w:ascii="Times New Roman" w:hAnsi="Times New Roman"/>
          <w:szCs w:val="24"/>
        </w:rPr>
        <w:t>rogram</w:t>
      </w:r>
      <w:r w:rsidRPr="008E4101">
        <w:rPr>
          <w:rFonts w:ascii="Times New Roman" w:hAnsi="Times New Roman"/>
          <w:szCs w:val="24"/>
        </w:rPr>
        <w:t xml:space="preserve"> byl přijatý vládou a schválen usnesením vlády č. 209/1992. Byl zřízen s cílem aktivovat města s vyhlášenou památkovou rezervací nebo památkovou zónou za účelem podpory komplexní regenerace nejcennějších částí historických měst v České republice. Finanční příspěvky z programu jsou přísně účelové, jsou poskytovány vlastníkům všech kulturních památek, a jsou určeny na obnovu a zachování kulturní památky, s výjimkou kulturních památek ve vlastnictví státu. Prostředky jsou poskytovány na základě § 16 zákona č. 20/1987 Sb., o státní památkové péči, v platném znění. Program váže i na integraci ČR do</w:t>
      </w:r>
      <w:r w:rsidR="008E4101">
        <w:rPr>
          <w:rFonts w:ascii="Times New Roman" w:hAnsi="Times New Roman"/>
          <w:szCs w:val="24"/>
        </w:rPr>
        <w:t> </w:t>
      </w:r>
      <w:r w:rsidRPr="008E4101">
        <w:rPr>
          <w:rFonts w:ascii="Times New Roman" w:hAnsi="Times New Roman"/>
          <w:szCs w:val="24"/>
        </w:rPr>
        <w:t>Evropské unie, a to v souvislosti s přistoupením ČR k Úmluvě Rady Evropy o ochraně architektonického dědictví a byl zakotven jako zásadní opatření na úseku památkové péče v Koncepci účinnější péče o památkový fond v ČR schválené usnesením vlády č. 278/98. Program je i nadále jedním z nástrojů, kterým je nahrazováno omezení vlastnictví vlastníkům kulturních památek i dle Koncepce památkové péče v České republice na léta 2011 až 2016 schválené usnesením vlády č. 562 ze dne 20. července 2011.</w:t>
      </w:r>
    </w:p>
    <w:p w14:paraId="51347909" w14:textId="77777777" w:rsidR="003A7B82" w:rsidRPr="00065049" w:rsidRDefault="003A7B82" w:rsidP="000F6720">
      <w:pPr>
        <w:spacing w:before="120" w:line="240" w:lineRule="auto"/>
        <w:jc w:val="left"/>
        <w:rPr>
          <w:rFonts w:ascii="Times New Roman" w:hAnsi="Times New Roman"/>
          <w:u w:val="single"/>
        </w:rPr>
      </w:pPr>
      <w:r w:rsidRPr="00065049">
        <w:rPr>
          <w:rFonts w:ascii="Times New Roman" w:hAnsi="Times New Roman"/>
          <w:u w:val="single"/>
        </w:rPr>
        <w:t xml:space="preserve">Péče o vesnické památkové rezervace, zóny </w:t>
      </w:r>
      <w:r w:rsidRPr="00065049">
        <w:rPr>
          <w:rFonts w:ascii="Times New Roman" w:hAnsi="Times New Roman"/>
          <w:u w:val="single"/>
        </w:rPr>
        <w:br/>
        <w:t>a krajinné památkové zóny</w:t>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t>        </w:t>
      </w:r>
      <w:r w:rsidR="0088241E" w:rsidRPr="00065049">
        <w:rPr>
          <w:rFonts w:ascii="Times New Roman" w:hAnsi="Times New Roman"/>
          <w:u w:val="single"/>
        </w:rPr>
        <w:t>3</w:t>
      </w:r>
      <w:r w:rsidR="00AA780F" w:rsidRPr="00065049">
        <w:rPr>
          <w:rFonts w:ascii="Times New Roman" w:hAnsi="Times New Roman"/>
          <w:u w:val="single"/>
        </w:rPr>
        <w:t>0</w:t>
      </w:r>
      <w:r w:rsidR="00386A2C" w:rsidRPr="00065049">
        <w:rPr>
          <w:rFonts w:ascii="Times New Roman" w:hAnsi="Times New Roman"/>
          <w:u w:val="single"/>
        </w:rPr>
        <w:t> </w:t>
      </w:r>
      <w:r w:rsidRPr="00065049">
        <w:rPr>
          <w:rFonts w:ascii="Times New Roman" w:hAnsi="Times New Roman"/>
          <w:u w:val="single"/>
        </w:rPr>
        <w:t>000</w:t>
      </w:r>
      <w:r w:rsidR="00386A2C" w:rsidRPr="00065049">
        <w:rPr>
          <w:rFonts w:ascii="Times New Roman" w:hAnsi="Times New Roman"/>
          <w:u w:val="single"/>
        </w:rPr>
        <w:t> </w:t>
      </w:r>
      <w:r w:rsidRPr="00065049">
        <w:rPr>
          <w:rFonts w:ascii="Times New Roman" w:hAnsi="Times New Roman"/>
          <w:u w:val="single"/>
        </w:rPr>
        <w:t>000</w:t>
      </w:r>
      <w:r w:rsidR="00386A2C" w:rsidRPr="00065049">
        <w:rPr>
          <w:rFonts w:ascii="Times New Roman" w:hAnsi="Times New Roman"/>
          <w:u w:val="single"/>
        </w:rPr>
        <w:t> </w:t>
      </w:r>
      <w:r w:rsidRPr="00065049">
        <w:rPr>
          <w:rFonts w:ascii="Times New Roman" w:hAnsi="Times New Roman"/>
          <w:u w:val="single"/>
        </w:rPr>
        <w:t>Kč</w:t>
      </w:r>
    </w:p>
    <w:p w14:paraId="5134790A" w14:textId="77777777" w:rsidR="00202815" w:rsidRDefault="003A7B82" w:rsidP="000F6720">
      <w:pPr>
        <w:pStyle w:val="Zhlav"/>
        <w:spacing w:before="120"/>
        <w:rPr>
          <w:rFonts w:ascii="Times New Roman" w:hAnsi="Times New Roman"/>
        </w:rPr>
      </w:pPr>
      <w:r w:rsidRPr="00065049">
        <w:rPr>
          <w:rFonts w:ascii="Times New Roman" w:hAnsi="Times New Roman"/>
        </w:rPr>
        <w:t>Program byl zřízen v roce 1997 jako systémové opatření státu na zachování a obnovu nemovitých kulturních památek, zejména památek lidové architektury, např.  zemědělských usedlostí, chalup, venkovských kostelů, zámečků, tvrzí, ale i ve prospěch obnovy a zachování technických děl, soch a pomníků, kapliček, božích muk, zahrad apod., pokud se nacházejí na</w:t>
      </w:r>
      <w:r w:rsidR="00412836" w:rsidRPr="00065049">
        <w:rPr>
          <w:rFonts w:ascii="Times New Roman" w:hAnsi="Times New Roman"/>
        </w:rPr>
        <w:t> </w:t>
      </w:r>
      <w:r w:rsidRPr="00065049">
        <w:rPr>
          <w:rFonts w:ascii="Times New Roman" w:hAnsi="Times New Roman"/>
        </w:rPr>
        <w:t>území vesnických památkových rezervací a zón a krajinných zón, a to v rámci celkové péče o dochované kulturní hodnoty v těchto územích. Příspěvky jsou poskytovány vlastníkům kulturních památek bez ohledu na typ vlastnictví, a to na základě § 16 zákona č. 20/1987 Sb., o státní památkové péči v platném znění a vyhlášky č. 66/1988 Sb., kterou se provádí zákon č. 20/1987 Sb. Program je zakotven jako zásadní opatření na úseku památkové péče v</w:t>
      </w:r>
      <w:r w:rsidR="00065049">
        <w:rPr>
          <w:rFonts w:ascii="Times New Roman" w:hAnsi="Times New Roman"/>
        </w:rPr>
        <w:t> </w:t>
      </w:r>
      <w:r w:rsidRPr="00065049">
        <w:rPr>
          <w:rFonts w:ascii="Times New Roman" w:hAnsi="Times New Roman"/>
        </w:rPr>
        <w:t>usnesení vlády č. 278/98 o Koncepci účinnější péče o památkový fond v ČR. Program je i</w:t>
      </w:r>
      <w:r w:rsidR="008E4101">
        <w:rPr>
          <w:rFonts w:ascii="Times New Roman" w:hAnsi="Times New Roman"/>
        </w:rPr>
        <w:t> </w:t>
      </w:r>
      <w:r w:rsidRPr="00065049">
        <w:rPr>
          <w:rFonts w:ascii="Times New Roman" w:hAnsi="Times New Roman"/>
        </w:rPr>
        <w:t>nadále jedním z nástrojů, kterým je nahrazováno omezení vlastnictví vlastníkům kulturních památek i dle Koncepce památkové péče v České republice na léta 2011 až 2016 schválené usnesením vlády č. 562 ze dne 20. července 2011. Program váže i na integraci ČR do</w:t>
      </w:r>
      <w:r w:rsidR="00412836" w:rsidRPr="00065049">
        <w:rPr>
          <w:rFonts w:ascii="Times New Roman" w:hAnsi="Times New Roman"/>
        </w:rPr>
        <w:t> </w:t>
      </w:r>
      <w:r w:rsidRPr="00065049">
        <w:rPr>
          <w:rFonts w:ascii="Times New Roman" w:hAnsi="Times New Roman"/>
        </w:rPr>
        <w:t>Evropské unie, a to v souvislosti s přistoupením ČR k Úmluvě Rady Evropy o ochraně architektonického dědictví.</w:t>
      </w:r>
    </w:p>
    <w:p w14:paraId="5134790B" w14:textId="77777777" w:rsidR="00202815" w:rsidRDefault="00202815">
      <w:pPr>
        <w:spacing w:after="200"/>
        <w:jc w:val="left"/>
        <w:rPr>
          <w:rFonts w:ascii="Times New Roman" w:hAnsi="Times New Roman"/>
        </w:rPr>
      </w:pPr>
      <w:r>
        <w:rPr>
          <w:rFonts w:ascii="Times New Roman" w:hAnsi="Times New Roman"/>
        </w:rPr>
        <w:br w:type="page"/>
      </w:r>
    </w:p>
    <w:p w14:paraId="5134790C" w14:textId="77777777" w:rsidR="003A7B82" w:rsidRPr="00065049" w:rsidRDefault="003A7B82" w:rsidP="00E82302">
      <w:pPr>
        <w:spacing w:before="120" w:line="240" w:lineRule="auto"/>
        <w:rPr>
          <w:rFonts w:ascii="Times New Roman" w:hAnsi="Times New Roman"/>
          <w:u w:val="single"/>
        </w:rPr>
      </w:pPr>
      <w:r w:rsidRPr="00065049">
        <w:rPr>
          <w:rFonts w:ascii="Times New Roman" w:hAnsi="Times New Roman"/>
          <w:u w:val="single"/>
        </w:rPr>
        <w:lastRenderedPageBreak/>
        <w:t>Program podpory pro památky UNESCO</w:t>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00596C47" w:rsidRPr="00065049">
        <w:rPr>
          <w:rFonts w:ascii="Times New Roman" w:hAnsi="Times New Roman"/>
          <w:u w:val="single"/>
        </w:rPr>
        <w:t>       </w:t>
      </w:r>
      <w:r w:rsidR="00386A2C" w:rsidRPr="00065049">
        <w:rPr>
          <w:rFonts w:ascii="Times New Roman" w:hAnsi="Times New Roman"/>
          <w:u w:val="single"/>
        </w:rPr>
        <w:t>    </w:t>
      </w:r>
      <w:r w:rsidR="00AA780F" w:rsidRPr="00065049">
        <w:rPr>
          <w:rFonts w:ascii="Times New Roman" w:hAnsi="Times New Roman"/>
          <w:u w:val="single"/>
        </w:rPr>
        <w:t>6</w:t>
      </w:r>
      <w:r w:rsidR="00386A2C" w:rsidRPr="00065049">
        <w:rPr>
          <w:rFonts w:ascii="Times New Roman" w:hAnsi="Times New Roman"/>
          <w:u w:val="single"/>
        </w:rPr>
        <w:t> </w:t>
      </w:r>
      <w:r w:rsidR="00AA780F" w:rsidRPr="00065049">
        <w:rPr>
          <w:rFonts w:ascii="Times New Roman" w:hAnsi="Times New Roman"/>
          <w:u w:val="single"/>
        </w:rPr>
        <w:t>000</w:t>
      </w:r>
      <w:r w:rsidR="00386A2C" w:rsidRPr="00065049">
        <w:rPr>
          <w:rFonts w:ascii="Times New Roman" w:hAnsi="Times New Roman"/>
          <w:u w:val="single"/>
        </w:rPr>
        <w:t> </w:t>
      </w:r>
      <w:r w:rsidRPr="00065049">
        <w:rPr>
          <w:rFonts w:ascii="Times New Roman" w:hAnsi="Times New Roman"/>
          <w:u w:val="single"/>
        </w:rPr>
        <w:t>000</w:t>
      </w:r>
      <w:r w:rsidR="00386A2C" w:rsidRPr="00065049">
        <w:rPr>
          <w:rFonts w:ascii="Times New Roman" w:hAnsi="Times New Roman"/>
          <w:u w:val="single"/>
        </w:rPr>
        <w:t> </w:t>
      </w:r>
      <w:r w:rsidRPr="00065049">
        <w:rPr>
          <w:rFonts w:ascii="Times New Roman" w:hAnsi="Times New Roman"/>
          <w:u w:val="single"/>
        </w:rPr>
        <w:t>Kč</w:t>
      </w:r>
    </w:p>
    <w:p w14:paraId="5134790D" w14:textId="77777777" w:rsidR="003A7B82" w:rsidRPr="00065049" w:rsidRDefault="003A7B82" w:rsidP="000F6720">
      <w:pPr>
        <w:pStyle w:val="Zhlav"/>
        <w:spacing w:before="120"/>
        <w:rPr>
          <w:rFonts w:ascii="Times New Roman" w:hAnsi="Times New Roman"/>
        </w:rPr>
      </w:pPr>
      <w:r w:rsidRPr="00065049">
        <w:rPr>
          <w:rFonts w:ascii="Times New Roman" w:hAnsi="Times New Roman"/>
        </w:rPr>
        <w:t>Program podpory pro památky UNESCO napomáhá při plnění závazků České republiky při obnově a zachování památek zapsaných na seznam Světového dědictví. Nezbytnost činností vyplývá z Úmluvy o ochraně světového kulturního a přírodního dědictví. Prostřednictvím programu je možné poskytovat příspěvky pouze na obnovu památek UNESCO, které jsou zvlášť sledovány a ke kterým má Česká republika povinnost vypracovávat periodické zprávy o aplikaci Úmluvy o ochraně světového a přírodního dědictví. Dotace z Programu má za cíl podporovat rozvoj památek zapsaných na Seznamu nebo těch památek, u kterých byl podán návrh na nominaci mezinárodně předepsaným způsobem, nebo těch, u nichž se nominační dokumentace již zpracovává. Dotace z</w:t>
      </w:r>
      <w:r w:rsidR="008E4101">
        <w:rPr>
          <w:rFonts w:ascii="Times New Roman" w:hAnsi="Times New Roman"/>
        </w:rPr>
        <w:t> </w:t>
      </w:r>
      <w:r w:rsidRPr="00065049">
        <w:rPr>
          <w:rFonts w:ascii="Times New Roman" w:hAnsi="Times New Roman"/>
        </w:rPr>
        <w:t>Programu finančně podpoří pouze ty projekty, které budou rozvíjet hodnoty, pro něž byla památka zapsána nebo nominována k zápisu na Seznam.</w:t>
      </w:r>
    </w:p>
    <w:p w14:paraId="5134790E" w14:textId="77777777" w:rsidR="003A7B82" w:rsidRPr="00065049" w:rsidRDefault="003A7B82" w:rsidP="00E82302">
      <w:pPr>
        <w:spacing w:before="120" w:line="240" w:lineRule="auto"/>
        <w:jc w:val="left"/>
        <w:rPr>
          <w:rFonts w:ascii="Times New Roman" w:hAnsi="Times New Roman"/>
          <w:u w:val="single"/>
        </w:rPr>
      </w:pPr>
      <w:r w:rsidRPr="00065049">
        <w:rPr>
          <w:rFonts w:ascii="Times New Roman" w:hAnsi="Times New Roman"/>
          <w:u w:val="single"/>
        </w:rPr>
        <w:t xml:space="preserve">Podpora obnovy kulturních památek prostřednictvím obcí </w:t>
      </w:r>
      <w:r w:rsidRPr="00065049">
        <w:rPr>
          <w:rFonts w:ascii="Times New Roman" w:hAnsi="Times New Roman"/>
          <w:u w:val="single"/>
        </w:rPr>
        <w:br/>
        <w:t>s rozšířenou působností</w:t>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r>
      <w:r w:rsidR="005F1A01" w:rsidRPr="00065049">
        <w:rPr>
          <w:rFonts w:ascii="Times New Roman" w:hAnsi="Times New Roman"/>
          <w:u w:val="single"/>
        </w:rPr>
        <w:t>      </w:t>
      </w:r>
      <w:r w:rsidRPr="00065049">
        <w:rPr>
          <w:rFonts w:ascii="Times New Roman" w:hAnsi="Times New Roman"/>
          <w:u w:val="single"/>
        </w:rPr>
        <w:t> </w:t>
      </w:r>
      <w:r w:rsidR="00995864" w:rsidRPr="00065049">
        <w:rPr>
          <w:rFonts w:ascii="Times New Roman" w:hAnsi="Times New Roman"/>
          <w:u w:val="single"/>
        </w:rPr>
        <w:t>1</w:t>
      </w:r>
      <w:r w:rsidR="0088241E" w:rsidRPr="00065049">
        <w:rPr>
          <w:rFonts w:ascii="Times New Roman" w:hAnsi="Times New Roman"/>
          <w:u w:val="single"/>
        </w:rPr>
        <w:t>54</w:t>
      </w:r>
      <w:r w:rsidR="00386A2C" w:rsidRPr="00065049">
        <w:rPr>
          <w:rFonts w:ascii="Times New Roman" w:hAnsi="Times New Roman"/>
          <w:u w:val="single"/>
        </w:rPr>
        <w:t> </w:t>
      </w:r>
      <w:r w:rsidRPr="00065049">
        <w:rPr>
          <w:rFonts w:ascii="Times New Roman" w:hAnsi="Times New Roman"/>
          <w:u w:val="single"/>
        </w:rPr>
        <w:t>000</w:t>
      </w:r>
      <w:r w:rsidR="00386A2C" w:rsidRPr="00065049">
        <w:rPr>
          <w:rFonts w:ascii="Times New Roman" w:hAnsi="Times New Roman"/>
          <w:u w:val="single"/>
        </w:rPr>
        <w:t> </w:t>
      </w:r>
      <w:r w:rsidRPr="00065049">
        <w:rPr>
          <w:rFonts w:ascii="Times New Roman" w:hAnsi="Times New Roman"/>
          <w:u w:val="single"/>
        </w:rPr>
        <w:t>000</w:t>
      </w:r>
      <w:r w:rsidR="00386A2C" w:rsidRPr="00065049">
        <w:rPr>
          <w:rFonts w:ascii="Times New Roman" w:hAnsi="Times New Roman"/>
          <w:u w:val="single"/>
        </w:rPr>
        <w:t> </w:t>
      </w:r>
      <w:r w:rsidRPr="00065049">
        <w:rPr>
          <w:rFonts w:ascii="Times New Roman" w:hAnsi="Times New Roman"/>
          <w:u w:val="single"/>
        </w:rPr>
        <w:t>Kč</w:t>
      </w:r>
    </w:p>
    <w:p w14:paraId="5134790F" w14:textId="77777777" w:rsidR="003A7B82" w:rsidRPr="00065049" w:rsidRDefault="003A7B82" w:rsidP="000F6720">
      <w:pPr>
        <w:pStyle w:val="Zhlav"/>
        <w:spacing w:before="120"/>
        <w:rPr>
          <w:rFonts w:ascii="Times New Roman" w:hAnsi="Times New Roman"/>
        </w:rPr>
      </w:pPr>
      <w:r w:rsidRPr="00065049">
        <w:rPr>
          <w:rFonts w:ascii="Times New Roman" w:hAnsi="Times New Roman"/>
        </w:rPr>
        <w:t xml:space="preserve">Program byl zřízen v roce 2008 v souladu se zákonem č. 20/1987 Sb., o státní památkové péči. Je určen pro zachování a obnovu nemovitých kulturních památek, které se nalézají mimo památkové rezervace a zóny, nejsou národními kulturními památkami a nejsou ve vlastnictví České republiky, a to v případech, kdy </w:t>
      </w:r>
      <w:r w:rsidR="00A8190B" w:rsidRPr="00065049">
        <w:rPr>
          <w:rFonts w:ascii="Times New Roman" w:hAnsi="Times New Roman"/>
        </w:rPr>
        <w:t>jejich obnovu</w:t>
      </w:r>
      <w:r w:rsidRPr="00065049">
        <w:rPr>
          <w:rFonts w:ascii="Times New Roman" w:hAnsi="Times New Roman"/>
        </w:rPr>
        <w:t xml:space="preserve"> efektivně a účelně neumožňují výše jmenované programy MK. Obce s rozšířenou působností, které v programu vystupují jako prostředníci mezi vlastníkem a ministerstvem, mají přidělenou kvótu, vypočítanou na základě údajů o počtu a stavu památek ve své spádové oblasti, a samy následně rozhodují o tom, jak navrhnou její rozdělení mezi žadatele. Ministerstvo kultury pak po schválení navržených výší příspěvků svou komisí vede řízení přímo s vlastníkem. Program je také jedním z nástrojů, kterým je nahrazováno omezení vlastnictví vlastníkům kulturních památek i dle Koncepce památkové péče v České republice na léta 2011 až 2016 schválené usnesením vlády č. 562 ze dne 20. července 2011.</w:t>
      </w:r>
    </w:p>
    <w:p w14:paraId="51347910" w14:textId="77777777" w:rsidR="00B76F0D" w:rsidRPr="00065049" w:rsidRDefault="00B76F0D" w:rsidP="00B76F0D">
      <w:pPr>
        <w:spacing w:before="120" w:line="240" w:lineRule="auto"/>
        <w:rPr>
          <w:rFonts w:ascii="Times New Roman" w:hAnsi="Times New Roman"/>
          <w:u w:val="single"/>
        </w:rPr>
      </w:pPr>
      <w:r w:rsidRPr="00065049">
        <w:rPr>
          <w:rFonts w:ascii="Times New Roman" w:hAnsi="Times New Roman"/>
          <w:u w:val="single"/>
        </w:rPr>
        <w:t>Program podpory záchranných archeologických výzkumů</w:t>
      </w:r>
      <w:r w:rsidRPr="00065049">
        <w:rPr>
          <w:rFonts w:ascii="Times New Roman" w:hAnsi="Times New Roman"/>
          <w:u w:val="single"/>
        </w:rPr>
        <w:tab/>
      </w:r>
      <w:r w:rsidRPr="00065049">
        <w:rPr>
          <w:rFonts w:ascii="Times New Roman" w:hAnsi="Times New Roman"/>
          <w:u w:val="single"/>
        </w:rPr>
        <w:tab/>
      </w:r>
      <w:r w:rsidRPr="00065049">
        <w:rPr>
          <w:rFonts w:ascii="Times New Roman" w:hAnsi="Times New Roman"/>
          <w:u w:val="single"/>
        </w:rPr>
        <w:tab/>
        <w:t>           9 000 000 Kč</w:t>
      </w:r>
    </w:p>
    <w:p w14:paraId="51347911" w14:textId="77777777" w:rsidR="00B76F0D" w:rsidRPr="00065049" w:rsidRDefault="00F173B8" w:rsidP="00B76F0D">
      <w:pPr>
        <w:spacing w:before="120" w:line="240" w:lineRule="auto"/>
        <w:rPr>
          <w:rFonts w:ascii="Times New Roman" w:hAnsi="Times New Roman"/>
        </w:rPr>
      </w:pPr>
      <w:r w:rsidRPr="00065049">
        <w:rPr>
          <w:rFonts w:ascii="Times New Roman" w:hAnsi="Times New Roman"/>
        </w:rPr>
        <w:t>Program založený společným opatřením ministerstev financí a kultury jako jeden z nástrojů plnění mezinárodních závazků České republiky podle úmluvy o ochraně archeologického dědictví Evropy k naplnění zákona č. 20/1987 Sb., o státní památkové péči. Program je zaměřen na podporu záchranných archeologických výzkumů, jejichž potřeba vznikla v souvislosti se stavební činností na území s archeologickými nálezy. Dotace je poskytována příspěvkovým organizacím zřizovaným Ministerstvem kultury, pokud jsou oprávněny k této činnosti.</w:t>
      </w:r>
    </w:p>
    <w:p w14:paraId="51347912" w14:textId="77777777" w:rsidR="00861C26" w:rsidRPr="00065049" w:rsidRDefault="00360435" w:rsidP="00E82302">
      <w:pPr>
        <w:pStyle w:val="Zhlav"/>
        <w:spacing w:before="120"/>
        <w:rPr>
          <w:rFonts w:ascii="Times New Roman" w:hAnsi="Times New Roman"/>
          <w:u w:val="single"/>
        </w:rPr>
      </w:pPr>
      <w:r w:rsidRPr="00065049">
        <w:rPr>
          <w:rFonts w:ascii="Times New Roman" w:hAnsi="Times New Roman"/>
          <w:u w:val="single"/>
        </w:rPr>
        <w:t>Program Záchrana a obnova památek poškozených živelnými pohromami</w:t>
      </w:r>
      <w:r w:rsidRPr="00065049">
        <w:rPr>
          <w:rFonts w:ascii="Times New Roman" w:hAnsi="Times New Roman"/>
          <w:u w:val="single"/>
        </w:rPr>
        <w:tab/>
      </w:r>
      <w:r w:rsidR="005827DE" w:rsidRPr="00065049">
        <w:rPr>
          <w:rFonts w:ascii="Times New Roman" w:hAnsi="Times New Roman"/>
          <w:u w:val="single"/>
        </w:rPr>
        <w:t> </w:t>
      </w:r>
      <w:r w:rsidRPr="00065049">
        <w:rPr>
          <w:rFonts w:ascii="Times New Roman" w:hAnsi="Times New Roman"/>
          <w:u w:val="single"/>
        </w:rPr>
        <w:t>0</w:t>
      </w:r>
      <w:r w:rsidR="005827DE" w:rsidRPr="00065049">
        <w:rPr>
          <w:rFonts w:ascii="Times New Roman" w:hAnsi="Times New Roman"/>
          <w:u w:val="single"/>
        </w:rPr>
        <w:t> </w:t>
      </w:r>
      <w:r w:rsidRPr="00065049">
        <w:rPr>
          <w:rFonts w:ascii="Times New Roman" w:hAnsi="Times New Roman"/>
          <w:u w:val="single"/>
        </w:rPr>
        <w:t>Kč</w:t>
      </w:r>
    </w:p>
    <w:p w14:paraId="51347913" w14:textId="77777777" w:rsidR="00861C26" w:rsidRPr="00065049" w:rsidRDefault="00861C26" w:rsidP="005827DE">
      <w:pPr>
        <w:pStyle w:val="Zhlav"/>
        <w:spacing w:before="120"/>
        <w:rPr>
          <w:rFonts w:ascii="Times New Roman" w:hAnsi="Times New Roman"/>
          <w:i/>
        </w:rPr>
      </w:pPr>
      <w:r w:rsidRPr="00065049">
        <w:rPr>
          <w:rFonts w:ascii="Times New Roman" w:hAnsi="Times New Roman"/>
          <w:i/>
        </w:rPr>
        <w:t>Podpora obnovy kulturních památek v majetku státu</w:t>
      </w:r>
      <w:r w:rsidRPr="00065049">
        <w:rPr>
          <w:rFonts w:ascii="Times New Roman" w:hAnsi="Times New Roman"/>
          <w:i/>
        </w:rPr>
        <w:tab/>
      </w:r>
      <w:r w:rsidR="005827DE" w:rsidRPr="00065049">
        <w:rPr>
          <w:rFonts w:ascii="Times New Roman" w:hAnsi="Times New Roman"/>
          <w:i/>
        </w:rPr>
        <w:t>      </w:t>
      </w:r>
      <w:r w:rsidR="00995864" w:rsidRPr="00065049">
        <w:rPr>
          <w:rFonts w:ascii="Times New Roman" w:hAnsi="Times New Roman"/>
          <w:i/>
        </w:rPr>
        <w:t>       0</w:t>
      </w:r>
      <w:r w:rsidR="005827DE" w:rsidRPr="00065049">
        <w:rPr>
          <w:rFonts w:ascii="Times New Roman" w:hAnsi="Times New Roman"/>
          <w:i/>
        </w:rPr>
        <w:t> </w:t>
      </w:r>
      <w:r w:rsidRPr="00065049">
        <w:rPr>
          <w:rFonts w:ascii="Times New Roman" w:hAnsi="Times New Roman"/>
          <w:i/>
        </w:rPr>
        <w:t>Kč</w:t>
      </w:r>
    </w:p>
    <w:p w14:paraId="51347914" w14:textId="77777777" w:rsidR="00861C26" w:rsidRPr="00065049" w:rsidRDefault="00793215" w:rsidP="005827DE">
      <w:pPr>
        <w:pStyle w:val="Zhlav"/>
        <w:rPr>
          <w:rFonts w:ascii="Times New Roman" w:hAnsi="Times New Roman"/>
        </w:rPr>
      </w:pPr>
      <w:r w:rsidRPr="00065049">
        <w:rPr>
          <w:rFonts w:ascii="Times New Roman" w:hAnsi="Times New Roman"/>
        </w:rPr>
        <w:t>Pro rok 2016 nejsou rozpočtovány prostředky.</w:t>
      </w:r>
    </w:p>
    <w:p w14:paraId="51347915" w14:textId="77777777" w:rsidR="005827DE" w:rsidRPr="00065049" w:rsidRDefault="00861C26" w:rsidP="005827DE">
      <w:pPr>
        <w:pStyle w:val="Zhlav"/>
        <w:spacing w:before="120"/>
        <w:rPr>
          <w:rFonts w:ascii="Times New Roman" w:hAnsi="Times New Roman"/>
          <w:i/>
        </w:rPr>
      </w:pPr>
      <w:r w:rsidRPr="00065049">
        <w:rPr>
          <w:rFonts w:ascii="Times New Roman" w:hAnsi="Times New Roman"/>
          <w:i/>
        </w:rPr>
        <w:t>Podpora obnovy kulturních památek v majetku krajů a obcí</w:t>
      </w:r>
      <w:r w:rsidRPr="00065049">
        <w:rPr>
          <w:rFonts w:ascii="Times New Roman" w:hAnsi="Times New Roman"/>
          <w:i/>
        </w:rPr>
        <w:tab/>
      </w:r>
      <w:r w:rsidR="005827DE" w:rsidRPr="00065049">
        <w:rPr>
          <w:rFonts w:ascii="Times New Roman" w:hAnsi="Times New Roman"/>
          <w:i/>
        </w:rPr>
        <w:t>             0 Kč</w:t>
      </w:r>
    </w:p>
    <w:p w14:paraId="51347916" w14:textId="77777777" w:rsidR="00861C26" w:rsidRPr="00065049" w:rsidRDefault="00793215" w:rsidP="00A06F71">
      <w:pPr>
        <w:pStyle w:val="Zhlav"/>
        <w:rPr>
          <w:rFonts w:ascii="Times New Roman" w:hAnsi="Times New Roman"/>
        </w:rPr>
      </w:pPr>
      <w:r w:rsidRPr="00065049">
        <w:rPr>
          <w:rFonts w:ascii="Times New Roman" w:hAnsi="Times New Roman"/>
        </w:rPr>
        <w:t>Pro rok 2016 nejsou rozpočtovány prostředky.</w:t>
      </w:r>
    </w:p>
    <w:p w14:paraId="51347917" w14:textId="77777777" w:rsidR="00861C26" w:rsidRPr="00065049" w:rsidRDefault="00861C26" w:rsidP="005827DE">
      <w:pPr>
        <w:pStyle w:val="Zhlav"/>
        <w:rPr>
          <w:rFonts w:ascii="Times New Roman" w:hAnsi="Times New Roman"/>
          <w:i/>
        </w:rPr>
      </w:pPr>
      <w:r w:rsidRPr="00065049">
        <w:rPr>
          <w:rFonts w:ascii="Times New Roman" w:hAnsi="Times New Roman"/>
          <w:i/>
        </w:rPr>
        <w:t>Podpora obnovy kulturních památek v majetku fyzických osob</w:t>
      </w:r>
      <w:r w:rsidRPr="00065049">
        <w:rPr>
          <w:rFonts w:ascii="Times New Roman" w:hAnsi="Times New Roman"/>
          <w:i/>
        </w:rPr>
        <w:tab/>
      </w:r>
      <w:r w:rsidR="005827DE" w:rsidRPr="00065049">
        <w:rPr>
          <w:rFonts w:ascii="Times New Roman" w:hAnsi="Times New Roman"/>
          <w:i/>
        </w:rPr>
        <w:t>             0 Kč</w:t>
      </w:r>
    </w:p>
    <w:p w14:paraId="51347918" w14:textId="77777777" w:rsidR="00793215" w:rsidRPr="00065049" w:rsidRDefault="00793215" w:rsidP="005827DE">
      <w:pPr>
        <w:pStyle w:val="Zhlav"/>
        <w:rPr>
          <w:rFonts w:ascii="Times New Roman" w:hAnsi="Times New Roman"/>
        </w:rPr>
      </w:pPr>
      <w:r w:rsidRPr="00065049">
        <w:rPr>
          <w:rFonts w:ascii="Times New Roman" w:hAnsi="Times New Roman"/>
        </w:rPr>
        <w:t>Pro rok 2016 nejsou rozpočtovány prostředky.</w:t>
      </w:r>
    </w:p>
    <w:p w14:paraId="51347919" w14:textId="77777777" w:rsidR="00861C26" w:rsidRPr="00065049" w:rsidRDefault="00861C26" w:rsidP="005827DE">
      <w:pPr>
        <w:pStyle w:val="Zhlav"/>
        <w:spacing w:before="120"/>
        <w:rPr>
          <w:rFonts w:ascii="Times New Roman" w:hAnsi="Times New Roman"/>
          <w:i/>
        </w:rPr>
      </w:pPr>
      <w:r w:rsidRPr="00065049">
        <w:rPr>
          <w:rFonts w:ascii="Times New Roman" w:hAnsi="Times New Roman"/>
          <w:i/>
        </w:rPr>
        <w:t>Podpora obnovy kulturních památek v majetku</w:t>
      </w:r>
    </w:p>
    <w:p w14:paraId="5134791A" w14:textId="77777777" w:rsidR="005827DE" w:rsidRPr="00065049" w:rsidRDefault="00861C26" w:rsidP="005827DE">
      <w:pPr>
        <w:pStyle w:val="Zhlav"/>
        <w:rPr>
          <w:rFonts w:ascii="Times New Roman" w:hAnsi="Times New Roman"/>
          <w:i/>
        </w:rPr>
      </w:pPr>
      <w:r w:rsidRPr="00065049">
        <w:rPr>
          <w:rFonts w:ascii="Times New Roman" w:hAnsi="Times New Roman"/>
          <w:i/>
        </w:rPr>
        <w:t>církví a náboženských společností</w:t>
      </w:r>
      <w:r w:rsidRPr="00065049">
        <w:rPr>
          <w:rFonts w:ascii="Times New Roman" w:hAnsi="Times New Roman"/>
          <w:i/>
        </w:rPr>
        <w:tab/>
      </w:r>
      <w:r w:rsidRPr="00065049">
        <w:rPr>
          <w:rFonts w:ascii="Times New Roman" w:hAnsi="Times New Roman"/>
          <w:i/>
        </w:rPr>
        <w:tab/>
      </w:r>
      <w:r w:rsidR="005827DE" w:rsidRPr="00065049">
        <w:rPr>
          <w:rFonts w:ascii="Times New Roman" w:hAnsi="Times New Roman"/>
          <w:i/>
        </w:rPr>
        <w:t>             0 Kč</w:t>
      </w:r>
    </w:p>
    <w:p w14:paraId="5134791B" w14:textId="77777777" w:rsidR="00793215" w:rsidRPr="00065049" w:rsidRDefault="00793215" w:rsidP="005827DE">
      <w:pPr>
        <w:pStyle w:val="Zhlav"/>
        <w:rPr>
          <w:rFonts w:ascii="Times New Roman" w:hAnsi="Times New Roman"/>
        </w:rPr>
      </w:pPr>
      <w:r w:rsidRPr="00065049">
        <w:rPr>
          <w:rFonts w:ascii="Times New Roman" w:hAnsi="Times New Roman"/>
        </w:rPr>
        <w:t>Pro rok 2016 nejsou rozpočtovány prostředky.</w:t>
      </w:r>
    </w:p>
    <w:p w14:paraId="5134791C" w14:textId="77777777" w:rsidR="000F060D" w:rsidRPr="00E96118" w:rsidRDefault="000F060D" w:rsidP="001D72D6">
      <w:pPr>
        <w:pStyle w:val="Nadpis2"/>
      </w:pPr>
      <w:bookmarkStart w:id="13" w:name="_Toc431911987"/>
      <w:r w:rsidRPr="00E96118">
        <w:lastRenderedPageBreak/>
        <w:t>B. VII.</w:t>
      </w:r>
      <w:r w:rsidR="00410C7A" w:rsidRPr="00E96118">
        <w:t xml:space="preserve"> </w:t>
      </w:r>
      <w:r w:rsidRPr="00E96118">
        <w:t>Podpora kultury národnostních menšin</w:t>
      </w:r>
      <w:bookmarkEnd w:id="13"/>
    </w:p>
    <w:p w14:paraId="5134791D" w14:textId="77777777" w:rsidR="003A7B82" w:rsidRPr="00202815" w:rsidRDefault="00995864" w:rsidP="004B2545">
      <w:pPr>
        <w:spacing w:line="240" w:lineRule="auto"/>
        <w:rPr>
          <w:rFonts w:ascii="Times New Roman" w:hAnsi="Times New Roman"/>
          <w:sz w:val="20"/>
          <w:lang w:eastAsia="en-US"/>
        </w:rPr>
      </w:pPr>
      <w:r w:rsidRPr="00E96118">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202815">
        <w:rPr>
          <w:rFonts w:ascii="Times New Roman" w:hAnsi="Times New Roman"/>
          <w:sz w:val="20"/>
          <w:lang w:eastAsia="en-US"/>
        </w:rPr>
        <w:t>v</w:t>
      </w:r>
      <w:r w:rsidR="006F783F" w:rsidRPr="00202815">
        <w:rPr>
          <w:rFonts w:ascii="Times New Roman" w:hAnsi="Times New Roman"/>
          <w:sz w:val="20"/>
          <w:lang w:eastAsia="en-US"/>
        </w:rPr>
        <w:t> </w:t>
      </w:r>
      <w:r w:rsidRPr="00202815">
        <w:rPr>
          <w:rFonts w:ascii="Times New Roman" w:hAnsi="Times New Roman"/>
          <w:sz w:val="20"/>
          <w:lang w:eastAsia="en-US"/>
        </w:rPr>
        <w:t>Kč</w:t>
      </w:r>
    </w:p>
    <w:tbl>
      <w:tblPr>
        <w:tblW w:w="9087" w:type="dxa"/>
        <w:tblInd w:w="55" w:type="dxa"/>
        <w:tblCellMar>
          <w:left w:w="70" w:type="dxa"/>
          <w:right w:w="70" w:type="dxa"/>
        </w:tblCellMar>
        <w:tblLook w:val="04A0" w:firstRow="1" w:lastRow="0" w:firstColumn="1" w:lastColumn="0" w:noHBand="0" w:noVBand="1"/>
      </w:tblPr>
      <w:tblGrid>
        <w:gridCol w:w="400"/>
        <w:gridCol w:w="4010"/>
        <w:gridCol w:w="1559"/>
        <w:gridCol w:w="1559"/>
        <w:gridCol w:w="1559"/>
      </w:tblGrid>
      <w:tr w:rsidR="00015522" w:rsidRPr="00C151FE" w14:paraId="51347923" w14:textId="77777777" w:rsidTr="006F783F">
        <w:trPr>
          <w:trHeight w:val="600"/>
        </w:trPr>
        <w:tc>
          <w:tcPr>
            <w:tcW w:w="4410" w:type="dxa"/>
            <w:gridSpan w:val="2"/>
            <w:tcBorders>
              <w:top w:val="single" w:sz="12" w:space="0" w:color="auto"/>
              <w:left w:val="single" w:sz="12" w:space="0" w:color="auto"/>
              <w:bottom w:val="single" w:sz="12" w:space="0" w:color="auto"/>
              <w:right w:val="single" w:sz="8" w:space="0" w:color="000000"/>
            </w:tcBorders>
            <w:shd w:val="clear" w:color="auto" w:fill="auto"/>
            <w:vAlign w:val="center"/>
            <w:hideMark/>
          </w:tcPr>
          <w:p w14:paraId="5134791E" w14:textId="77777777" w:rsidR="00015522" w:rsidRPr="00C151FE" w:rsidRDefault="00015522" w:rsidP="006F783F">
            <w:pPr>
              <w:spacing w:line="240" w:lineRule="auto"/>
              <w:jc w:val="center"/>
              <w:rPr>
                <w:rFonts w:ascii="Calibri" w:hAnsi="Calibri"/>
                <w:b/>
                <w:bCs/>
                <w:sz w:val="22"/>
                <w:szCs w:val="22"/>
              </w:rPr>
            </w:pPr>
            <w:r w:rsidRPr="00C151FE">
              <w:rPr>
                <w:rFonts w:ascii="Calibri" w:hAnsi="Calibri"/>
                <w:b/>
                <w:bCs/>
                <w:sz w:val="22"/>
                <w:szCs w:val="22"/>
              </w:rPr>
              <w:t>Výdajový blok/okruh</w:t>
            </w:r>
          </w:p>
        </w:tc>
        <w:tc>
          <w:tcPr>
            <w:tcW w:w="1559" w:type="dxa"/>
            <w:tcBorders>
              <w:top w:val="single" w:sz="12" w:space="0" w:color="auto"/>
              <w:left w:val="nil"/>
              <w:bottom w:val="single" w:sz="12" w:space="0" w:color="auto"/>
              <w:right w:val="single" w:sz="8" w:space="0" w:color="auto"/>
            </w:tcBorders>
            <w:shd w:val="clear" w:color="auto" w:fill="auto"/>
            <w:vAlign w:val="center"/>
            <w:hideMark/>
          </w:tcPr>
          <w:p w14:paraId="5134791F"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SR 2015</w:t>
            </w:r>
          </w:p>
        </w:tc>
        <w:tc>
          <w:tcPr>
            <w:tcW w:w="1559" w:type="dxa"/>
            <w:tcBorders>
              <w:top w:val="single" w:sz="12" w:space="0" w:color="auto"/>
              <w:left w:val="nil"/>
              <w:bottom w:val="single" w:sz="12" w:space="0" w:color="auto"/>
              <w:right w:val="single" w:sz="8" w:space="0" w:color="auto"/>
            </w:tcBorders>
            <w:shd w:val="clear" w:color="auto" w:fill="auto"/>
            <w:vAlign w:val="center"/>
            <w:hideMark/>
          </w:tcPr>
          <w:p w14:paraId="51347920"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2016</w:t>
            </w:r>
          </w:p>
        </w:tc>
        <w:tc>
          <w:tcPr>
            <w:tcW w:w="1559" w:type="dxa"/>
            <w:tcBorders>
              <w:top w:val="single" w:sz="12" w:space="0" w:color="auto"/>
              <w:left w:val="nil"/>
              <w:bottom w:val="single" w:sz="12" w:space="0" w:color="auto"/>
              <w:right w:val="single" w:sz="12" w:space="0" w:color="auto"/>
            </w:tcBorders>
            <w:shd w:val="clear" w:color="auto" w:fill="auto"/>
            <w:vAlign w:val="center"/>
            <w:hideMark/>
          </w:tcPr>
          <w:p w14:paraId="51347921"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 xml:space="preserve"> Rozdíl</w:t>
            </w:r>
          </w:p>
          <w:p w14:paraId="51347922"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16 -SR 15</w:t>
            </w:r>
          </w:p>
        </w:tc>
      </w:tr>
      <w:tr w:rsidR="006F783F" w:rsidRPr="00C151FE" w14:paraId="51347928" w14:textId="77777777" w:rsidTr="006F783F">
        <w:trPr>
          <w:trHeight w:val="484"/>
        </w:trPr>
        <w:tc>
          <w:tcPr>
            <w:tcW w:w="4410" w:type="dxa"/>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51347924" w14:textId="77777777" w:rsidR="006F783F" w:rsidRPr="00C151FE" w:rsidRDefault="006F783F" w:rsidP="006F783F">
            <w:pPr>
              <w:spacing w:line="240" w:lineRule="auto"/>
              <w:jc w:val="left"/>
              <w:rPr>
                <w:rFonts w:ascii="Calibri" w:hAnsi="Calibri"/>
                <w:sz w:val="22"/>
                <w:szCs w:val="22"/>
              </w:rPr>
            </w:pPr>
            <w:r w:rsidRPr="00C151FE">
              <w:rPr>
                <w:rFonts w:ascii="Calibri" w:hAnsi="Calibri"/>
                <w:sz w:val="22"/>
                <w:szCs w:val="22"/>
              </w:rPr>
              <w:t>Podpora kultury národnostních menšin</w:t>
            </w:r>
          </w:p>
        </w:tc>
        <w:tc>
          <w:tcPr>
            <w:tcW w:w="1559" w:type="dxa"/>
            <w:tcBorders>
              <w:top w:val="nil"/>
              <w:left w:val="nil"/>
              <w:bottom w:val="single" w:sz="8" w:space="0" w:color="auto"/>
              <w:right w:val="single" w:sz="8" w:space="0" w:color="auto"/>
            </w:tcBorders>
            <w:shd w:val="clear" w:color="auto" w:fill="auto"/>
            <w:vAlign w:val="center"/>
            <w:hideMark/>
          </w:tcPr>
          <w:p w14:paraId="51347925" w14:textId="77777777" w:rsidR="006F783F" w:rsidRPr="00C151FE" w:rsidRDefault="006F783F" w:rsidP="006F783F">
            <w:pPr>
              <w:spacing w:line="240" w:lineRule="auto"/>
              <w:jc w:val="right"/>
              <w:rPr>
                <w:rFonts w:ascii="Calibri" w:hAnsi="Calibri"/>
                <w:sz w:val="22"/>
                <w:szCs w:val="22"/>
              </w:rPr>
            </w:pPr>
            <w:r w:rsidRPr="00C151FE">
              <w:rPr>
                <w:rFonts w:ascii="Calibri" w:hAnsi="Calibri"/>
                <w:sz w:val="22"/>
                <w:szCs w:val="22"/>
              </w:rPr>
              <w:t>31 478 000</w:t>
            </w:r>
          </w:p>
        </w:tc>
        <w:tc>
          <w:tcPr>
            <w:tcW w:w="1559" w:type="dxa"/>
            <w:tcBorders>
              <w:top w:val="nil"/>
              <w:left w:val="nil"/>
              <w:bottom w:val="single" w:sz="8" w:space="0" w:color="auto"/>
              <w:right w:val="single" w:sz="8" w:space="0" w:color="auto"/>
            </w:tcBorders>
            <w:shd w:val="clear" w:color="auto" w:fill="auto"/>
            <w:vAlign w:val="center"/>
            <w:hideMark/>
          </w:tcPr>
          <w:p w14:paraId="51347926" w14:textId="77777777" w:rsidR="006F783F" w:rsidRPr="00C151FE" w:rsidRDefault="006F783F" w:rsidP="006F783F">
            <w:pPr>
              <w:spacing w:line="240" w:lineRule="auto"/>
              <w:jc w:val="right"/>
              <w:rPr>
                <w:rFonts w:ascii="Calibri" w:hAnsi="Calibri"/>
                <w:sz w:val="22"/>
                <w:szCs w:val="22"/>
              </w:rPr>
            </w:pPr>
            <w:r w:rsidRPr="00C151FE">
              <w:rPr>
                <w:rFonts w:ascii="Calibri" w:hAnsi="Calibri"/>
                <w:sz w:val="22"/>
                <w:szCs w:val="22"/>
              </w:rPr>
              <w:t>33 000 000</w:t>
            </w:r>
          </w:p>
        </w:tc>
        <w:tc>
          <w:tcPr>
            <w:tcW w:w="1559" w:type="dxa"/>
            <w:tcBorders>
              <w:top w:val="nil"/>
              <w:left w:val="nil"/>
              <w:bottom w:val="single" w:sz="8" w:space="0" w:color="auto"/>
              <w:right w:val="single" w:sz="12" w:space="0" w:color="auto"/>
            </w:tcBorders>
            <w:shd w:val="clear" w:color="auto" w:fill="auto"/>
            <w:vAlign w:val="center"/>
            <w:hideMark/>
          </w:tcPr>
          <w:p w14:paraId="51347927" w14:textId="77777777" w:rsidR="006F783F" w:rsidRPr="00C151FE" w:rsidRDefault="006F783F" w:rsidP="006F783F">
            <w:pPr>
              <w:spacing w:line="240" w:lineRule="auto"/>
              <w:jc w:val="right"/>
              <w:rPr>
                <w:rFonts w:ascii="Calibri" w:hAnsi="Calibri"/>
                <w:sz w:val="22"/>
                <w:szCs w:val="22"/>
              </w:rPr>
            </w:pPr>
            <w:r w:rsidRPr="00C151FE">
              <w:rPr>
                <w:rFonts w:ascii="Calibri" w:hAnsi="Calibri"/>
                <w:sz w:val="22"/>
                <w:szCs w:val="22"/>
              </w:rPr>
              <w:t>1 522 000</w:t>
            </w:r>
          </w:p>
        </w:tc>
      </w:tr>
      <w:tr w:rsidR="006F783F" w:rsidRPr="00C151FE" w14:paraId="5134792E" w14:textId="77777777" w:rsidTr="006F783F">
        <w:trPr>
          <w:trHeight w:val="544"/>
        </w:trPr>
        <w:tc>
          <w:tcPr>
            <w:tcW w:w="400" w:type="dxa"/>
            <w:tcBorders>
              <w:top w:val="nil"/>
              <w:left w:val="single" w:sz="12" w:space="0" w:color="auto"/>
              <w:bottom w:val="single" w:sz="8" w:space="0" w:color="auto"/>
              <w:right w:val="single" w:sz="8" w:space="0" w:color="auto"/>
            </w:tcBorders>
            <w:shd w:val="clear" w:color="auto" w:fill="auto"/>
            <w:vAlign w:val="center"/>
            <w:hideMark/>
          </w:tcPr>
          <w:p w14:paraId="51347929" w14:textId="77777777" w:rsidR="006F783F" w:rsidRPr="00C151FE" w:rsidRDefault="006F783F" w:rsidP="006F783F">
            <w:pPr>
              <w:spacing w:line="240" w:lineRule="auto"/>
              <w:jc w:val="left"/>
              <w:rPr>
                <w:rFonts w:ascii="Calibri" w:hAnsi="Calibri"/>
                <w:sz w:val="22"/>
                <w:szCs w:val="22"/>
              </w:rPr>
            </w:pPr>
            <w:r w:rsidRPr="00C151FE">
              <w:rPr>
                <w:rFonts w:ascii="Calibri" w:hAnsi="Calibri"/>
                <w:sz w:val="22"/>
                <w:szCs w:val="22"/>
              </w:rPr>
              <w:t>a)</w:t>
            </w:r>
          </w:p>
        </w:tc>
        <w:tc>
          <w:tcPr>
            <w:tcW w:w="4010" w:type="dxa"/>
            <w:tcBorders>
              <w:top w:val="nil"/>
              <w:left w:val="nil"/>
              <w:bottom w:val="single" w:sz="8" w:space="0" w:color="auto"/>
              <w:right w:val="single" w:sz="8" w:space="0" w:color="auto"/>
            </w:tcBorders>
            <w:shd w:val="clear" w:color="auto" w:fill="auto"/>
            <w:vAlign w:val="center"/>
            <w:hideMark/>
          </w:tcPr>
          <w:p w14:paraId="5134792A" w14:textId="77777777" w:rsidR="006F783F" w:rsidRPr="00C151FE" w:rsidRDefault="006F783F" w:rsidP="006F783F">
            <w:pPr>
              <w:spacing w:line="240" w:lineRule="auto"/>
              <w:jc w:val="left"/>
              <w:rPr>
                <w:rFonts w:ascii="Calibri" w:hAnsi="Calibri"/>
                <w:sz w:val="22"/>
                <w:szCs w:val="22"/>
              </w:rPr>
            </w:pPr>
            <w:r w:rsidRPr="00C151FE">
              <w:rPr>
                <w:rFonts w:ascii="Calibri" w:hAnsi="Calibri"/>
                <w:sz w:val="22"/>
                <w:szCs w:val="22"/>
              </w:rPr>
              <w:t>Podpora projektů integrace příslušníků romské komunity</w:t>
            </w:r>
          </w:p>
        </w:tc>
        <w:tc>
          <w:tcPr>
            <w:tcW w:w="1559" w:type="dxa"/>
            <w:tcBorders>
              <w:top w:val="nil"/>
              <w:left w:val="nil"/>
              <w:bottom w:val="single" w:sz="8" w:space="0" w:color="auto"/>
              <w:right w:val="single" w:sz="8" w:space="0" w:color="auto"/>
            </w:tcBorders>
            <w:shd w:val="clear" w:color="auto" w:fill="auto"/>
            <w:vAlign w:val="center"/>
            <w:hideMark/>
          </w:tcPr>
          <w:p w14:paraId="5134792B" w14:textId="77777777" w:rsidR="006F783F" w:rsidRPr="00C151FE" w:rsidRDefault="006F783F" w:rsidP="006F783F">
            <w:pPr>
              <w:spacing w:line="240" w:lineRule="auto"/>
              <w:jc w:val="right"/>
              <w:rPr>
                <w:rFonts w:ascii="Calibri" w:hAnsi="Calibri"/>
                <w:sz w:val="22"/>
                <w:szCs w:val="22"/>
              </w:rPr>
            </w:pPr>
            <w:r w:rsidRPr="00C151FE">
              <w:rPr>
                <w:rFonts w:ascii="Calibri" w:hAnsi="Calibri"/>
                <w:sz w:val="22"/>
                <w:szCs w:val="22"/>
              </w:rPr>
              <w:t>1 516 000</w:t>
            </w:r>
          </w:p>
        </w:tc>
        <w:tc>
          <w:tcPr>
            <w:tcW w:w="1559" w:type="dxa"/>
            <w:tcBorders>
              <w:top w:val="nil"/>
              <w:left w:val="nil"/>
              <w:bottom w:val="single" w:sz="8" w:space="0" w:color="auto"/>
              <w:right w:val="single" w:sz="8" w:space="0" w:color="auto"/>
            </w:tcBorders>
            <w:shd w:val="clear" w:color="auto" w:fill="auto"/>
            <w:vAlign w:val="center"/>
            <w:hideMark/>
          </w:tcPr>
          <w:p w14:paraId="5134792C" w14:textId="77777777" w:rsidR="006F783F" w:rsidRPr="00C151FE" w:rsidRDefault="006F783F" w:rsidP="006F783F">
            <w:pPr>
              <w:spacing w:line="240" w:lineRule="auto"/>
              <w:jc w:val="right"/>
              <w:rPr>
                <w:rFonts w:ascii="Calibri" w:hAnsi="Calibri"/>
                <w:sz w:val="22"/>
                <w:szCs w:val="22"/>
              </w:rPr>
            </w:pPr>
            <w:r w:rsidRPr="00C151FE">
              <w:rPr>
                <w:rFonts w:ascii="Calibri" w:hAnsi="Calibri"/>
                <w:sz w:val="22"/>
                <w:szCs w:val="22"/>
              </w:rPr>
              <w:t>2 000 000</w:t>
            </w:r>
          </w:p>
        </w:tc>
        <w:tc>
          <w:tcPr>
            <w:tcW w:w="1559" w:type="dxa"/>
            <w:tcBorders>
              <w:top w:val="nil"/>
              <w:left w:val="nil"/>
              <w:bottom w:val="single" w:sz="8" w:space="0" w:color="auto"/>
              <w:right w:val="single" w:sz="12" w:space="0" w:color="auto"/>
            </w:tcBorders>
            <w:shd w:val="clear" w:color="auto" w:fill="auto"/>
            <w:vAlign w:val="center"/>
            <w:hideMark/>
          </w:tcPr>
          <w:p w14:paraId="5134792D" w14:textId="77777777" w:rsidR="006F783F" w:rsidRPr="00C151FE" w:rsidRDefault="006F783F" w:rsidP="006F783F">
            <w:pPr>
              <w:spacing w:line="240" w:lineRule="auto"/>
              <w:jc w:val="right"/>
              <w:rPr>
                <w:rFonts w:ascii="Calibri" w:hAnsi="Calibri"/>
                <w:sz w:val="22"/>
                <w:szCs w:val="22"/>
              </w:rPr>
            </w:pPr>
            <w:r w:rsidRPr="00C151FE">
              <w:rPr>
                <w:rFonts w:ascii="Calibri" w:hAnsi="Calibri"/>
                <w:sz w:val="22"/>
                <w:szCs w:val="22"/>
              </w:rPr>
              <w:t>484 000</w:t>
            </w:r>
          </w:p>
        </w:tc>
      </w:tr>
      <w:tr w:rsidR="006F783F" w:rsidRPr="00C151FE" w14:paraId="51347934" w14:textId="77777777" w:rsidTr="006F783F">
        <w:trPr>
          <w:trHeight w:val="859"/>
        </w:trPr>
        <w:tc>
          <w:tcPr>
            <w:tcW w:w="400" w:type="dxa"/>
            <w:tcBorders>
              <w:top w:val="nil"/>
              <w:left w:val="single" w:sz="12" w:space="0" w:color="auto"/>
              <w:bottom w:val="single" w:sz="12" w:space="0" w:color="auto"/>
              <w:right w:val="single" w:sz="8" w:space="0" w:color="auto"/>
            </w:tcBorders>
            <w:shd w:val="clear" w:color="auto" w:fill="auto"/>
            <w:vAlign w:val="center"/>
            <w:hideMark/>
          </w:tcPr>
          <w:p w14:paraId="5134792F" w14:textId="77777777" w:rsidR="006F783F" w:rsidRPr="00C151FE" w:rsidRDefault="006F783F" w:rsidP="006F783F">
            <w:pPr>
              <w:spacing w:line="240" w:lineRule="auto"/>
              <w:jc w:val="left"/>
              <w:rPr>
                <w:rFonts w:ascii="Calibri" w:hAnsi="Calibri"/>
                <w:sz w:val="22"/>
                <w:szCs w:val="22"/>
              </w:rPr>
            </w:pPr>
            <w:r w:rsidRPr="00C151FE">
              <w:rPr>
                <w:rFonts w:ascii="Calibri" w:hAnsi="Calibri"/>
                <w:sz w:val="22"/>
                <w:szCs w:val="22"/>
              </w:rPr>
              <w:t>b)</w:t>
            </w:r>
          </w:p>
        </w:tc>
        <w:tc>
          <w:tcPr>
            <w:tcW w:w="4010" w:type="dxa"/>
            <w:tcBorders>
              <w:top w:val="nil"/>
              <w:left w:val="nil"/>
              <w:bottom w:val="single" w:sz="12" w:space="0" w:color="auto"/>
              <w:right w:val="single" w:sz="8" w:space="0" w:color="auto"/>
            </w:tcBorders>
            <w:shd w:val="clear" w:color="auto" w:fill="auto"/>
            <w:vAlign w:val="center"/>
            <w:hideMark/>
          </w:tcPr>
          <w:p w14:paraId="51347930" w14:textId="77777777" w:rsidR="006F783F" w:rsidRPr="00C151FE" w:rsidRDefault="006F783F" w:rsidP="006F783F">
            <w:pPr>
              <w:spacing w:line="240" w:lineRule="auto"/>
              <w:jc w:val="left"/>
              <w:rPr>
                <w:rFonts w:ascii="Calibri" w:hAnsi="Calibri"/>
                <w:sz w:val="22"/>
                <w:szCs w:val="22"/>
              </w:rPr>
            </w:pPr>
            <w:r w:rsidRPr="00C151FE">
              <w:rPr>
                <w:rFonts w:ascii="Calibri" w:hAnsi="Calibri"/>
                <w:sz w:val="22"/>
                <w:szCs w:val="22"/>
              </w:rPr>
              <w:t>Podpora kulturních aktivit národnostních menšin a informací v jazycích národnostních menšin</w:t>
            </w:r>
          </w:p>
        </w:tc>
        <w:tc>
          <w:tcPr>
            <w:tcW w:w="1559" w:type="dxa"/>
            <w:tcBorders>
              <w:top w:val="nil"/>
              <w:left w:val="nil"/>
              <w:bottom w:val="single" w:sz="12" w:space="0" w:color="auto"/>
              <w:right w:val="single" w:sz="8" w:space="0" w:color="auto"/>
            </w:tcBorders>
            <w:shd w:val="clear" w:color="auto" w:fill="auto"/>
            <w:vAlign w:val="center"/>
            <w:hideMark/>
          </w:tcPr>
          <w:p w14:paraId="51347931" w14:textId="77777777" w:rsidR="006F783F" w:rsidRPr="00C151FE" w:rsidRDefault="006F783F" w:rsidP="006F783F">
            <w:pPr>
              <w:spacing w:line="240" w:lineRule="auto"/>
              <w:jc w:val="right"/>
              <w:rPr>
                <w:rFonts w:ascii="Calibri" w:hAnsi="Calibri"/>
                <w:sz w:val="22"/>
                <w:szCs w:val="22"/>
              </w:rPr>
            </w:pPr>
            <w:r w:rsidRPr="00C151FE">
              <w:rPr>
                <w:rFonts w:ascii="Calibri" w:hAnsi="Calibri"/>
                <w:sz w:val="22"/>
                <w:szCs w:val="22"/>
              </w:rPr>
              <w:t>29 962 000</w:t>
            </w:r>
          </w:p>
        </w:tc>
        <w:tc>
          <w:tcPr>
            <w:tcW w:w="1559" w:type="dxa"/>
            <w:tcBorders>
              <w:top w:val="nil"/>
              <w:left w:val="nil"/>
              <w:bottom w:val="single" w:sz="12" w:space="0" w:color="auto"/>
              <w:right w:val="single" w:sz="8" w:space="0" w:color="auto"/>
            </w:tcBorders>
            <w:shd w:val="clear" w:color="auto" w:fill="auto"/>
            <w:vAlign w:val="center"/>
            <w:hideMark/>
          </w:tcPr>
          <w:p w14:paraId="51347932" w14:textId="77777777" w:rsidR="006F783F" w:rsidRPr="00C151FE" w:rsidRDefault="006F783F" w:rsidP="006F783F">
            <w:pPr>
              <w:spacing w:line="240" w:lineRule="auto"/>
              <w:jc w:val="right"/>
              <w:rPr>
                <w:rFonts w:ascii="Calibri" w:hAnsi="Calibri"/>
                <w:sz w:val="22"/>
                <w:szCs w:val="22"/>
              </w:rPr>
            </w:pPr>
            <w:r w:rsidRPr="00C151FE">
              <w:rPr>
                <w:rFonts w:ascii="Calibri" w:hAnsi="Calibri"/>
                <w:sz w:val="22"/>
                <w:szCs w:val="22"/>
              </w:rPr>
              <w:t>31 000 000</w:t>
            </w:r>
          </w:p>
        </w:tc>
        <w:tc>
          <w:tcPr>
            <w:tcW w:w="1559" w:type="dxa"/>
            <w:tcBorders>
              <w:top w:val="nil"/>
              <w:left w:val="nil"/>
              <w:bottom w:val="single" w:sz="12" w:space="0" w:color="auto"/>
              <w:right w:val="single" w:sz="12" w:space="0" w:color="auto"/>
            </w:tcBorders>
            <w:shd w:val="clear" w:color="auto" w:fill="auto"/>
            <w:vAlign w:val="center"/>
            <w:hideMark/>
          </w:tcPr>
          <w:p w14:paraId="51347933" w14:textId="77777777" w:rsidR="006F783F" w:rsidRPr="00C151FE" w:rsidRDefault="006F783F" w:rsidP="006F783F">
            <w:pPr>
              <w:spacing w:line="240" w:lineRule="auto"/>
              <w:jc w:val="right"/>
              <w:rPr>
                <w:rFonts w:ascii="Calibri" w:hAnsi="Calibri"/>
                <w:sz w:val="22"/>
                <w:szCs w:val="22"/>
              </w:rPr>
            </w:pPr>
            <w:r w:rsidRPr="00C151FE">
              <w:rPr>
                <w:rFonts w:ascii="Calibri" w:hAnsi="Calibri"/>
                <w:sz w:val="22"/>
                <w:szCs w:val="22"/>
              </w:rPr>
              <w:t>1 038 000</w:t>
            </w:r>
          </w:p>
        </w:tc>
      </w:tr>
    </w:tbl>
    <w:p w14:paraId="51347935" w14:textId="77777777" w:rsidR="006F783F" w:rsidRPr="00C151FE" w:rsidRDefault="006F783F" w:rsidP="004B2545">
      <w:pPr>
        <w:spacing w:line="240" w:lineRule="auto"/>
        <w:rPr>
          <w:rFonts w:ascii="Times New Roman" w:hAnsi="Times New Roman"/>
          <w:lang w:eastAsia="en-US"/>
        </w:rPr>
      </w:pPr>
    </w:p>
    <w:p w14:paraId="51347936" w14:textId="77777777" w:rsidR="000F060D" w:rsidRPr="00C151FE" w:rsidRDefault="000F060D" w:rsidP="004B2545">
      <w:pPr>
        <w:spacing w:before="120" w:line="240" w:lineRule="auto"/>
        <w:rPr>
          <w:rFonts w:ascii="Times New Roman" w:hAnsi="Times New Roman"/>
          <w:b/>
        </w:rPr>
      </w:pPr>
      <w:r w:rsidRPr="00C151FE">
        <w:rPr>
          <w:rFonts w:ascii="Times New Roman" w:hAnsi="Times New Roman"/>
          <w:b/>
        </w:rPr>
        <w:t>a)</w:t>
      </w:r>
      <w:r w:rsidRPr="00C151FE">
        <w:rPr>
          <w:rFonts w:ascii="Times New Roman" w:hAnsi="Times New Roman"/>
          <w:b/>
        </w:rPr>
        <w:tab/>
        <w:t>podpora projektů integrace příslušníků romské komunity</w:t>
      </w:r>
      <w:r w:rsidRPr="00C151FE">
        <w:rPr>
          <w:rFonts w:ascii="Times New Roman" w:hAnsi="Times New Roman"/>
          <w:b/>
        </w:rPr>
        <w:tab/>
        <w:t>          </w:t>
      </w:r>
      <w:r w:rsidR="006F783F" w:rsidRPr="00C151FE">
        <w:rPr>
          <w:rFonts w:ascii="Times New Roman" w:hAnsi="Times New Roman"/>
          <w:b/>
        </w:rPr>
        <w:t>2</w:t>
      </w:r>
      <w:r w:rsidRPr="00C151FE">
        <w:rPr>
          <w:rFonts w:ascii="Times New Roman" w:hAnsi="Times New Roman"/>
          <w:b/>
        </w:rPr>
        <w:t> </w:t>
      </w:r>
      <w:r w:rsidR="006F783F" w:rsidRPr="00C151FE">
        <w:rPr>
          <w:rFonts w:ascii="Times New Roman" w:hAnsi="Times New Roman"/>
          <w:b/>
        </w:rPr>
        <w:t>0</w:t>
      </w:r>
      <w:r w:rsidR="00995864" w:rsidRPr="00C151FE">
        <w:rPr>
          <w:rFonts w:ascii="Times New Roman" w:hAnsi="Times New Roman"/>
          <w:b/>
        </w:rPr>
        <w:t>00</w:t>
      </w:r>
      <w:r w:rsidRPr="00C151FE">
        <w:rPr>
          <w:rFonts w:ascii="Times New Roman" w:hAnsi="Times New Roman"/>
          <w:b/>
        </w:rPr>
        <w:t> 000 Kč</w:t>
      </w:r>
    </w:p>
    <w:p w14:paraId="51347937" w14:textId="77777777" w:rsidR="000F060D" w:rsidRPr="00C151FE" w:rsidRDefault="000F060D" w:rsidP="000F6720">
      <w:pPr>
        <w:pStyle w:val="Zhlav"/>
        <w:spacing w:before="120"/>
        <w:rPr>
          <w:rFonts w:ascii="Times New Roman" w:hAnsi="Times New Roman"/>
        </w:rPr>
      </w:pPr>
      <w:r w:rsidRPr="00C151FE">
        <w:rPr>
          <w:rFonts w:ascii="Times New Roman" w:hAnsi="Times New Roman"/>
        </w:rPr>
        <w:t xml:space="preserve">Program </w:t>
      </w:r>
      <w:r w:rsidRPr="00C151FE">
        <w:rPr>
          <w:rFonts w:ascii="Times New Roman" w:hAnsi="Times New Roman"/>
          <w:szCs w:val="24"/>
        </w:rPr>
        <w:t>Podpora projektů integrace příslušníků romské komunity</w:t>
      </w:r>
      <w:r w:rsidRPr="00C151FE">
        <w:rPr>
          <w:rFonts w:ascii="Times New Roman" w:hAnsi="Times New Roman"/>
          <w:b/>
          <w:szCs w:val="24"/>
        </w:rPr>
        <w:t xml:space="preserve"> </w:t>
      </w:r>
      <w:r w:rsidRPr="00C151FE">
        <w:rPr>
          <w:rFonts w:ascii="Times New Roman" w:hAnsi="Times New Roman"/>
          <w:szCs w:val="24"/>
        </w:rPr>
        <w:t>byl vyhlášen po </w:t>
      </w:r>
      <w:r w:rsidRPr="00C151FE">
        <w:rPr>
          <w:rFonts w:ascii="Times New Roman" w:hAnsi="Times New Roman"/>
        </w:rPr>
        <w:t>dohodě s Meziresortní komisí pro záležitosti romské komunity a je realizován již několik let. Právním podkladem je zákon č. 273/2001 Sb., o právech příslušníků národnostních menšin a o změně některých zákonů, a z něj vyplývajícího nařízení vlády č. 98/2002 Sb., kterým se stanoví podmínky a způsob poskytování dotací ze státního rozpočtu na aktivity příslušníků národnostních menšin a na podporu integrace příslušníků romské komunity.</w:t>
      </w:r>
    </w:p>
    <w:p w14:paraId="51347938" w14:textId="77777777" w:rsidR="000F060D" w:rsidRPr="00C151FE" w:rsidRDefault="000F060D" w:rsidP="004B2545">
      <w:pPr>
        <w:spacing w:after="120" w:line="240" w:lineRule="auto"/>
        <w:rPr>
          <w:rFonts w:ascii="Times New Roman" w:hAnsi="Times New Roman"/>
          <w:lang w:eastAsia="en-US"/>
        </w:rPr>
      </w:pPr>
    </w:p>
    <w:p w14:paraId="51347939" w14:textId="77777777" w:rsidR="00FC7E0A" w:rsidRPr="00C151FE" w:rsidRDefault="000F060D" w:rsidP="004B2545">
      <w:pPr>
        <w:spacing w:line="240" w:lineRule="auto"/>
        <w:rPr>
          <w:rFonts w:ascii="Times New Roman" w:hAnsi="Times New Roman"/>
          <w:b/>
        </w:rPr>
      </w:pPr>
      <w:r w:rsidRPr="00C151FE">
        <w:rPr>
          <w:rFonts w:ascii="Times New Roman" w:hAnsi="Times New Roman"/>
          <w:b/>
        </w:rPr>
        <w:t>b)</w:t>
      </w:r>
      <w:r w:rsidRPr="00C151FE">
        <w:rPr>
          <w:rFonts w:ascii="Times New Roman" w:hAnsi="Times New Roman"/>
          <w:b/>
        </w:rPr>
        <w:tab/>
        <w:t>podpora kulturních aktivit národnostních menšin</w:t>
      </w:r>
      <w:r w:rsidRPr="00C151FE">
        <w:rPr>
          <w:rFonts w:ascii="Times New Roman" w:hAnsi="Times New Roman"/>
          <w:b/>
        </w:rPr>
        <w:tab/>
      </w:r>
    </w:p>
    <w:p w14:paraId="5134793A" w14:textId="77777777" w:rsidR="000F060D" w:rsidRPr="00C151FE" w:rsidRDefault="00FC7E0A" w:rsidP="004B2545">
      <w:pPr>
        <w:spacing w:after="120" w:line="240" w:lineRule="auto"/>
        <w:ind w:firstLine="708"/>
        <w:rPr>
          <w:rFonts w:ascii="Times New Roman" w:hAnsi="Times New Roman"/>
          <w:b/>
        </w:rPr>
      </w:pPr>
      <w:r w:rsidRPr="00C151FE">
        <w:rPr>
          <w:rFonts w:ascii="Times New Roman" w:hAnsi="Times New Roman"/>
          <w:b/>
        </w:rPr>
        <w:t>a informací v jazycích národnostních menšin</w:t>
      </w:r>
      <w:r w:rsidRPr="00C151FE">
        <w:rPr>
          <w:rFonts w:ascii="Times New Roman" w:hAnsi="Times New Roman"/>
          <w:b/>
        </w:rPr>
        <w:tab/>
      </w:r>
      <w:r w:rsidRPr="00C151FE">
        <w:rPr>
          <w:rFonts w:ascii="Times New Roman" w:hAnsi="Times New Roman"/>
          <w:b/>
        </w:rPr>
        <w:tab/>
      </w:r>
      <w:r w:rsidR="000F060D" w:rsidRPr="00C151FE">
        <w:rPr>
          <w:rFonts w:ascii="Times New Roman" w:hAnsi="Times New Roman"/>
          <w:b/>
        </w:rPr>
        <w:tab/>
      </w:r>
      <w:r w:rsidR="005827DE" w:rsidRPr="00C151FE">
        <w:rPr>
          <w:rFonts w:ascii="Times New Roman" w:hAnsi="Times New Roman"/>
          <w:b/>
        </w:rPr>
        <w:t>     </w:t>
      </w:r>
      <w:r w:rsidR="000F060D" w:rsidRPr="00C151FE">
        <w:rPr>
          <w:rFonts w:ascii="Times New Roman" w:hAnsi="Times New Roman"/>
          <w:b/>
        </w:rPr>
        <w:t>  </w:t>
      </w:r>
      <w:r w:rsidR="005827DE" w:rsidRPr="00C151FE">
        <w:rPr>
          <w:rFonts w:ascii="Times New Roman" w:hAnsi="Times New Roman"/>
          <w:b/>
        </w:rPr>
        <w:t> </w:t>
      </w:r>
      <w:r w:rsidR="000F060D" w:rsidRPr="00C151FE">
        <w:rPr>
          <w:rFonts w:ascii="Times New Roman" w:hAnsi="Times New Roman"/>
          <w:b/>
        </w:rPr>
        <w:t> </w:t>
      </w:r>
      <w:r w:rsidR="006F783F" w:rsidRPr="00C151FE">
        <w:rPr>
          <w:rFonts w:ascii="Times New Roman" w:hAnsi="Times New Roman"/>
          <w:b/>
        </w:rPr>
        <w:t>31</w:t>
      </w:r>
      <w:r w:rsidR="005827DE" w:rsidRPr="00C151FE">
        <w:rPr>
          <w:rFonts w:ascii="Times New Roman" w:hAnsi="Times New Roman"/>
          <w:b/>
        </w:rPr>
        <w:t> </w:t>
      </w:r>
      <w:r w:rsidR="006F783F" w:rsidRPr="00C151FE">
        <w:rPr>
          <w:rFonts w:ascii="Times New Roman" w:hAnsi="Times New Roman"/>
          <w:b/>
        </w:rPr>
        <w:t>0</w:t>
      </w:r>
      <w:r w:rsidR="00995864" w:rsidRPr="00C151FE">
        <w:rPr>
          <w:rFonts w:ascii="Times New Roman" w:hAnsi="Times New Roman"/>
          <w:b/>
        </w:rPr>
        <w:t>00</w:t>
      </w:r>
      <w:r w:rsidR="000F060D" w:rsidRPr="00C151FE">
        <w:rPr>
          <w:rFonts w:ascii="Times New Roman" w:hAnsi="Times New Roman"/>
          <w:b/>
        </w:rPr>
        <w:t> 000 Kč</w:t>
      </w:r>
    </w:p>
    <w:p w14:paraId="5134793B" w14:textId="77777777" w:rsidR="000F060D" w:rsidRPr="00C151FE" w:rsidRDefault="000F060D" w:rsidP="000F6720">
      <w:pPr>
        <w:spacing w:before="120" w:line="240" w:lineRule="auto"/>
        <w:rPr>
          <w:rFonts w:ascii="Times New Roman" w:hAnsi="Times New Roman"/>
          <w:u w:val="single"/>
        </w:rPr>
      </w:pPr>
      <w:r w:rsidRPr="00C151FE">
        <w:rPr>
          <w:rFonts w:ascii="Times New Roman" w:hAnsi="Times New Roman"/>
          <w:u w:val="single"/>
        </w:rPr>
        <w:t>Podpora kulturních aktivit národnostních menšin</w:t>
      </w:r>
      <w:r w:rsidRPr="00C151FE">
        <w:rPr>
          <w:rFonts w:ascii="Times New Roman" w:hAnsi="Times New Roman"/>
          <w:u w:val="single"/>
        </w:rPr>
        <w:tab/>
      </w:r>
      <w:r w:rsidRPr="00C151FE">
        <w:rPr>
          <w:rFonts w:ascii="Times New Roman" w:hAnsi="Times New Roman"/>
          <w:u w:val="single"/>
        </w:rPr>
        <w:tab/>
      </w:r>
      <w:r w:rsidRPr="00C151FE">
        <w:rPr>
          <w:rFonts w:ascii="Times New Roman" w:hAnsi="Times New Roman"/>
          <w:u w:val="single"/>
        </w:rPr>
        <w:tab/>
      </w:r>
      <w:r w:rsidRPr="00C151FE">
        <w:rPr>
          <w:rFonts w:ascii="Times New Roman" w:hAnsi="Times New Roman"/>
          <w:u w:val="single"/>
        </w:rPr>
        <w:tab/>
      </w:r>
      <w:r w:rsidR="005827DE" w:rsidRPr="00C151FE">
        <w:rPr>
          <w:rFonts w:ascii="Times New Roman" w:hAnsi="Times New Roman"/>
          <w:u w:val="single"/>
        </w:rPr>
        <w:t> </w:t>
      </w:r>
      <w:r w:rsidR="005F1A01" w:rsidRPr="00C151FE">
        <w:rPr>
          <w:rFonts w:ascii="Times New Roman" w:hAnsi="Times New Roman"/>
          <w:u w:val="single"/>
        </w:rPr>
        <w:t>        </w:t>
      </w:r>
      <w:r w:rsidR="00766928" w:rsidRPr="00C151FE">
        <w:rPr>
          <w:rFonts w:ascii="Times New Roman" w:hAnsi="Times New Roman"/>
          <w:u w:val="single"/>
        </w:rPr>
        <w:t>10</w:t>
      </w:r>
      <w:r w:rsidRPr="00C151FE">
        <w:rPr>
          <w:rFonts w:ascii="Times New Roman" w:hAnsi="Times New Roman"/>
          <w:u w:val="single"/>
        </w:rPr>
        <w:t> </w:t>
      </w:r>
      <w:r w:rsidR="00766928" w:rsidRPr="00C151FE">
        <w:rPr>
          <w:rFonts w:ascii="Times New Roman" w:hAnsi="Times New Roman"/>
          <w:u w:val="single"/>
        </w:rPr>
        <w:t>1</w:t>
      </w:r>
      <w:r w:rsidR="00995864" w:rsidRPr="00C151FE">
        <w:rPr>
          <w:rFonts w:ascii="Times New Roman" w:hAnsi="Times New Roman"/>
          <w:u w:val="single"/>
        </w:rPr>
        <w:t>50</w:t>
      </w:r>
      <w:r w:rsidRPr="00C151FE">
        <w:rPr>
          <w:rFonts w:ascii="Times New Roman" w:hAnsi="Times New Roman"/>
          <w:u w:val="single"/>
        </w:rPr>
        <w:t> 000 Kč</w:t>
      </w:r>
    </w:p>
    <w:p w14:paraId="5134793C" w14:textId="77777777" w:rsidR="000F060D" w:rsidRPr="00C151FE" w:rsidRDefault="000F060D" w:rsidP="004B2545">
      <w:pPr>
        <w:pStyle w:val="Zhlav"/>
        <w:spacing w:before="120" w:after="120"/>
        <w:rPr>
          <w:rFonts w:ascii="Times New Roman" w:hAnsi="Times New Roman"/>
        </w:rPr>
      </w:pPr>
      <w:r w:rsidRPr="00C151FE">
        <w:rPr>
          <w:rFonts w:ascii="Times New Roman" w:hAnsi="Times New Roman"/>
        </w:rPr>
        <w:t xml:space="preserve">Program umožňuje rozvíjet vlastní kulturu příslušníků národnostních menšin, kterou jim zaručuje zejména ústavní Listina základních práv a svobod a Rámcová úmluva o ochraně národnostních menšin. V souladu s těmito dokumenty byl přijat dne 10. července 2001 zákon č. 273 Sb., o právech příslušníků národnostních menšin a o změně některých zákonů. V návaznosti na tento zákon bylo přijato usnesení vlády ČR ze dne 21. února 2007 č. 122 o nařízení vlády, kterým se mění nařízení vlády č. 98/2002 Sb., kterým se stanoví podmínky </w:t>
      </w:r>
      <w:r w:rsidRPr="00C151FE">
        <w:rPr>
          <w:rFonts w:ascii="Times New Roman" w:hAnsi="Times New Roman"/>
        </w:rPr>
        <w:br/>
        <w:t>a způsob poskytování dotací ze státního rozpočtu na aktivity příslušníků národnostních menšin a na podporu integrace příslušníků romské komunity. Dne 3. července 2013 vláda přijala usnesení č. 530 o změně Statutu Rady vlády pro  národnostní menšiny a o jmenování členů této Rady, jímž rozhodla o jmenování zástupců Bělorusů a Vietnamců do této Rady. Nově uznané menšiny mají též nárok na státní podporu kultury.</w:t>
      </w:r>
    </w:p>
    <w:p w14:paraId="5134793D" w14:textId="77777777" w:rsidR="000F060D" w:rsidRPr="00C151FE" w:rsidRDefault="000F060D" w:rsidP="000F6720">
      <w:pPr>
        <w:spacing w:before="120" w:line="240" w:lineRule="auto"/>
        <w:jc w:val="left"/>
        <w:rPr>
          <w:rFonts w:ascii="Times New Roman" w:hAnsi="Times New Roman"/>
          <w:u w:val="single"/>
        </w:rPr>
      </w:pPr>
      <w:r w:rsidRPr="00C151FE">
        <w:rPr>
          <w:rFonts w:ascii="Times New Roman" w:hAnsi="Times New Roman"/>
          <w:u w:val="single"/>
        </w:rPr>
        <w:t xml:space="preserve">Podpora rozšiřování a přijímání informací v jazycích </w:t>
      </w:r>
      <w:r w:rsidRPr="00C151FE">
        <w:rPr>
          <w:rFonts w:ascii="Times New Roman" w:hAnsi="Times New Roman"/>
          <w:u w:val="single"/>
        </w:rPr>
        <w:br/>
        <w:t>národnostních menšin</w:t>
      </w:r>
      <w:r w:rsidRPr="00C151FE">
        <w:rPr>
          <w:rFonts w:ascii="Times New Roman" w:hAnsi="Times New Roman"/>
          <w:u w:val="single"/>
        </w:rPr>
        <w:tab/>
      </w:r>
      <w:r w:rsidRPr="00C151FE">
        <w:rPr>
          <w:rFonts w:ascii="Times New Roman" w:hAnsi="Times New Roman"/>
          <w:u w:val="single"/>
        </w:rPr>
        <w:tab/>
      </w:r>
      <w:r w:rsidRPr="00C151FE">
        <w:rPr>
          <w:rFonts w:ascii="Times New Roman" w:hAnsi="Times New Roman"/>
          <w:u w:val="single"/>
        </w:rPr>
        <w:tab/>
      </w:r>
      <w:r w:rsidRPr="00C151FE">
        <w:rPr>
          <w:rFonts w:ascii="Times New Roman" w:hAnsi="Times New Roman"/>
          <w:u w:val="single"/>
        </w:rPr>
        <w:tab/>
      </w:r>
      <w:r w:rsidRPr="00C151FE">
        <w:rPr>
          <w:rFonts w:ascii="Times New Roman" w:hAnsi="Times New Roman"/>
          <w:u w:val="single"/>
        </w:rPr>
        <w:tab/>
      </w:r>
      <w:r w:rsidRPr="00C151FE">
        <w:rPr>
          <w:rFonts w:ascii="Times New Roman" w:hAnsi="Times New Roman"/>
          <w:u w:val="single"/>
        </w:rPr>
        <w:tab/>
      </w:r>
      <w:r w:rsidRPr="00C151FE">
        <w:rPr>
          <w:rFonts w:ascii="Times New Roman" w:hAnsi="Times New Roman"/>
          <w:u w:val="single"/>
        </w:rPr>
        <w:tab/>
      </w:r>
      <w:r w:rsidR="00596C47" w:rsidRPr="00C151FE">
        <w:rPr>
          <w:rFonts w:ascii="Times New Roman" w:hAnsi="Times New Roman"/>
          <w:u w:val="single"/>
        </w:rPr>
        <w:tab/>
      </w:r>
      <w:r w:rsidR="006C7B8E" w:rsidRPr="00C151FE">
        <w:rPr>
          <w:rFonts w:ascii="Times New Roman" w:hAnsi="Times New Roman"/>
          <w:u w:val="single"/>
        </w:rPr>
        <w:t>        </w:t>
      </w:r>
      <w:r w:rsidRPr="00C151FE">
        <w:rPr>
          <w:rFonts w:ascii="Times New Roman" w:hAnsi="Times New Roman"/>
          <w:u w:val="single"/>
        </w:rPr>
        <w:t> </w:t>
      </w:r>
      <w:r w:rsidR="00995864" w:rsidRPr="00C151FE">
        <w:rPr>
          <w:rFonts w:ascii="Times New Roman" w:hAnsi="Times New Roman"/>
          <w:u w:val="single"/>
        </w:rPr>
        <w:t>20</w:t>
      </w:r>
      <w:r w:rsidR="005827DE" w:rsidRPr="00C151FE">
        <w:rPr>
          <w:rFonts w:ascii="Times New Roman" w:hAnsi="Times New Roman"/>
          <w:u w:val="single"/>
        </w:rPr>
        <w:t> </w:t>
      </w:r>
      <w:r w:rsidR="00995864" w:rsidRPr="00C151FE">
        <w:rPr>
          <w:rFonts w:ascii="Times New Roman" w:hAnsi="Times New Roman"/>
          <w:u w:val="single"/>
        </w:rPr>
        <w:t>850</w:t>
      </w:r>
      <w:r w:rsidR="005827DE" w:rsidRPr="00C151FE">
        <w:rPr>
          <w:rFonts w:ascii="Times New Roman" w:hAnsi="Times New Roman"/>
          <w:u w:val="single"/>
        </w:rPr>
        <w:t> </w:t>
      </w:r>
      <w:r w:rsidRPr="00C151FE">
        <w:rPr>
          <w:rFonts w:ascii="Times New Roman" w:hAnsi="Times New Roman"/>
          <w:u w:val="single"/>
        </w:rPr>
        <w:t>000</w:t>
      </w:r>
      <w:r w:rsidR="005827DE" w:rsidRPr="00C151FE">
        <w:rPr>
          <w:rFonts w:ascii="Times New Roman" w:hAnsi="Times New Roman"/>
          <w:u w:val="single"/>
        </w:rPr>
        <w:t> </w:t>
      </w:r>
      <w:r w:rsidRPr="00C151FE">
        <w:rPr>
          <w:rFonts w:ascii="Times New Roman" w:hAnsi="Times New Roman"/>
          <w:u w:val="single"/>
        </w:rPr>
        <w:t>Kč</w:t>
      </w:r>
    </w:p>
    <w:p w14:paraId="5134793E" w14:textId="77777777" w:rsidR="000F060D" w:rsidRPr="00C151FE" w:rsidRDefault="000F060D" w:rsidP="000F6720">
      <w:pPr>
        <w:pStyle w:val="Zhlav"/>
        <w:spacing w:before="120"/>
        <w:rPr>
          <w:rFonts w:ascii="Times New Roman" w:hAnsi="Times New Roman"/>
        </w:rPr>
      </w:pPr>
      <w:r w:rsidRPr="00C151FE">
        <w:rPr>
          <w:rFonts w:ascii="Times New Roman" w:hAnsi="Times New Roman"/>
        </w:rPr>
        <w:t>Podpora projektů se zaměřením na rozšiřování a přijímání informací v jazycích národnostních menšin se týká periodického tisku vydávaného v jazycích národnostních menšin nebo</w:t>
      </w:r>
      <w:r w:rsidR="00412836" w:rsidRPr="00C151FE">
        <w:rPr>
          <w:rFonts w:ascii="Times New Roman" w:hAnsi="Times New Roman"/>
        </w:rPr>
        <w:t> </w:t>
      </w:r>
      <w:r w:rsidRPr="00C151FE">
        <w:rPr>
          <w:rFonts w:ascii="Times New Roman" w:hAnsi="Times New Roman"/>
        </w:rPr>
        <w:t xml:space="preserve">informací o národnostních menšinách ve společnosti. Ministerstvo kultury vyhlašuje výběrové dotační řízení na podporu aktivit příslušníků národnostních menšin – přijímání </w:t>
      </w:r>
      <w:r w:rsidR="0063168E" w:rsidRPr="00C151FE">
        <w:rPr>
          <w:rFonts w:ascii="Times New Roman" w:hAnsi="Times New Roman"/>
        </w:rPr>
        <w:br/>
      </w:r>
      <w:r w:rsidRPr="00C151FE">
        <w:rPr>
          <w:rFonts w:ascii="Times New Roman" w:hAnsi="Times New Roman"/>
        </w:rPr>
        <w:t xml:space="preserve">a rozšiřování informací v jazycích národnostních menšin, kterého se mohou zúčastnit právnické i fyzické osoby, které se ve své činnosti zaměřují na národnostně menšinovou činnost. Cílem podpory ze státního rozpočtu je vytvářet podmínky pro rozšiřování a přijímání informací národnostních menšin či v převážné míře v jazycích národnostních menšin, jakož </w:t>
      </w:r>
      <w:r w:rsidR="0063168E" w:rsidRPr="00C151FE">
        <w:rPr>
          <w:rFonts w:ascii="Times New Roman" w:hAnsi="Times New Roman"/>
        </w:rPr>
        <w:br/>
      </w:r>
      <w:r w:rsidRPr="00C151FE">
        <w:rPr>
          <w:rFonts w:ascii="Times New Roman" w:hAnsi="Times New Roman"/>
        </w:rPr>
        <w:t>i informací o národnostních menšinách ve společnosti.</w:t>
      </w:r>
    </w:p>
    <w:p w14:paraId="5134793F" w14:textId="77777777" w:rsidR="00004FFB" w:rsidRDefault="00E543DC" w:rsidP="00606F43">
      <w:pPr>
        <w:pStyle w:val="Nadpis2"/>
        <w:tabs>
          <w:tab w:val="left" w:pos="2832"/>
          <w:tab w:val="left" w:pos="3540"/>
          <w:tab w:val="left" w:pos="4248"/>
          <w:tab w:val="left" w:pos="4956"/>
          <w:tab w:val="left" w:pos="5664"/>
          <w:tab w:val="left" w:pos="6372"/>
          <w:tab w:val="left" w:pos="7080"/>
          <w:tab w:val="left" w:pos="7892"/>
        </w:tabs>
        <w:spacing w:line="240" w:lineRule="auto"/>
        <w:ind w:left="993" w:hanging="993"/>
      </w:pPr>
      <w:bookmarkStart w:id="14" w:name="_Toc431911988"/>
      <w:r w:rsidRPr="00E96118">
        <w:lastRenderedPageBreak/>
        <w:t>B</w:t>
      </w:r>
      <w:r w:rsidR="00E62F75">
        <w:t>.</w:t>
      </w:r>
      <w:r w:rsidRPr="00E96118">
        <w:t xml:space="preserve"> VIII. </w:t>
      </w:r>
      <w:r w:rsidR="00004FFB" w:rsidRPr="00E96118">
        <w:t xml:space="preserve">Podpora rozvoje a obnovy materiálně </w:t>
      </w:r>
      <w:r w:rsidR="00E62F75">
        <w:t xml:space="preserve">technické základny regionálních </w:t>
      </w:r>
      <w:r w:rsidR="00004FFB" w:rsidRPr="00E96118">
        <w:t>kulturních zařízení</w:t>
      </w:r>
      <w:bookmarkEnd w:id="14"/>
    </w:p>
    <w:p w14:paraId="51347940" w14:textId="77777777" w:rsidR="00995864" w:rsidRPr="00202815" w:rsidRDefault="00995864" w:rsidP="000F060D">
      <w:pPr>
        <w:rPr>
          <w:rFonts w:ascii="Times New Roman" w:hAnsi="Times New Roman"/>
          <w:sz w:val="20"/>
          <w:lang w:eastAsia="en-US"/>
        </w:rPr>
      </w:pPr>
      <w:r w:rsidRPr="00C151FE">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C151FE">
        <w:rPr>
          <w:rFonts w:ascii="Times New Roman" w:hAnsi="Times New Roman"/>
          <w:lang w:eastAsia="en-US"/>
        </w:rPr>
        <w:tab/>
      </w:r>
      <w:r w:rsidRPr="00202815">
        <w:rPr>
          <w:rFonts w:ascii="Times New Roman" w:hAnsi="Times New Roman"/>
          <w:sz w:val="20"/>
          <w:lang w:eastAsia="en-US"/>
        </w:rPr>
        <w:t>v</w:t>
      </w:r>
      <w:r w:rsidR="00766928" w:rsidRPr="00202815">
        <w:rPr>
          <w:rFonts w:ascii="Times New Roman" w:hAnsi="Times New Roman"/>
          <w:sz w:val="20"/>
          <w:lang w:eastAsia="en-US"/>
        </w:rPr>
        <w:t> </w:t>
      </w:r>
      <w:r w:rsidRPr="00202815">
        <w:rPr>
          <w:rFonts w:ascii="Times New Roman" w:hAnsi="Times New Roman"/>
          <w:sz w:val="20"/>
          <w:lang w:eastAsia="en-US"/>
        </w:rPr>
        <w:t>Kč</w:t>
      </w:r>
    </w:p>
    <w:tbl>
      <w:tblPr>
        <w:tblW w:w="9087" w:type="dxa"/>
        <w:tblInd w:w="55" w:type="dxa"/>
        <w:tblCellMar>
          <w:left w:w="70" w:type="dxa"/>
          <w:right w:w="70" w:type="dxa"/>
        </w:tblCellMar>
        <w:tblLook w:val="04A0" w:firstRow="1" w:lastRow="0" w:firstColumn="1" w:lastColumn="0" w:noHBand="0" w:noVBand="1"/>
      </w:tblPr>
      <w:tblGrid>
        <w:gridCol w:w="4693"/>
        <w:gridCol w:w="1276"/>
        <w:gridCol w:w="1417"/>
        <w:gridCol w:w="1701"/>
      </w:tblGrid>
      <w:tr w:rsidR="00015522" w:rsidRPr="00C151FE" w14:paraId="51347946" w14:textId="77777777" w:rsidTr="00766928">
        <w:trPr>
          <w:trHeight w:val="600"/>
        </w:trPr>
        <w:tc>
          <w:tcPr>
            <w:tcW w:w="4693" w:type="dxa"/>
            <w:tcBorders>
              <w:top w:val="single" w:sz="12" w:space="0" w:color="auto"/>
              <w:left w:val="single" w:sz="12" w:space="0" w:color="auto"/>
              <w:bottom w:val="single" w:sz="12" w:space="0" w:color="auto"/>
              <w:right w:val="single" w:sz="8" w:space="0" w:color="000000"/>
            </w:tcBorders>
            <w:shd w:val="clear" w:color="auto" w:fill="auto"/>
            <w:vAlign w:val="center"/>
            <w:hideMark/>
          </w:tcPr>
          <w:p w14:paraId="51347941" w14:textId="77777777" w:rsidR="00015522" w:rsidRPr="00C151FE" w:rsidRDefault="00015522" w:rsidP="00766928">
            <w:pPr>
              <w:spacing w:line="240" w:lineRule="auto"/>
              <w:jc w:val="center"/>
              <w:rPr>
                <w:rFonts w:ascii="Calibri" w:hAnsi="Calibri"/>
                <w:b/>
                <w:bCs/>
                <w:sz w:val="22"/>
                <w:szCs w:val="22"/>
              </w:rPr>
            </w:pPr>
            <w:r w:rsidRPr="00C151FE">
              <w:rPr>
                <w:rFonts w:ascii="Calibri" w:hAnsi="Calibri"/>
                <w:b/>
                <w:bCs/>
                <w:sz w:val="22"/>
                <w:szCs w:val="22"/>
              </w:rPr>
              <w:t>Výdajový blok</w:t>
            </w:r>
          </w:p>
        </w:tc>
        <w:tc>
          <w:tcPr>
            <w:tcW w:w="1276" w:type="dxa"/>
            <w:tcBorders>
              <w:top w:val="single" w:sz="12" w:space="0" w:color="auto"/>
              <w:left w:val="nil"/>
              <w:bottom w:val="single" w:sz="12" w:space="0" w:color="auto"/>
              <w:right w:val="single" w:sz="8" w:space="0" w:color="auto"/>
            </w:tcBorders>
            <w:shd w:val="clear" w:color="auto" w:fill="auto"/>
            <w:vAlign w:val="center"/>
            <w:hideMark/>
          </w:tcPr>
          <w:p w14:paraId="51347942"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SR 2015</w:t>
            </w:r>
          </w:p>
        </w:tc>
        <w:tc>
          <w:tcPr>
            <w:tcW w:w="1417" w:type="dxa"/>
            <w:tcBorders>
              <w:top w:val="single" w:sz="12" w:space="0" w:color="auto"/>
              <w:left w:val="nil"/>
              <w:bottom w:val="single" w:sz="12" w:space="0" w:color="auto"/>
              <w:right w:val="single" w:sz="8" w:space="0" w:color="auto"/>
            </w:tcBorders>
            <w:shd w:val="clear" w:color="auto" w:fill="auto"/>
            <w:vAlign w:val="center"/>
            <w:hideMark/>
          </w:tcPr>
          <w:p w14:paraId="51347943"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2016</w:t>
            </w:r>
          </w:p>
        </w:tc>
        <w:tc>
          <w:tcPr>
            <w:tcW w:w="1701" w:type="dxa"/>
            <w:tcBorders>
              <w:top w:val="single" w:sz="12" w:space="0" w:color="auto"/>
              <w:left w:val="nil"/>
              <w:bottom w:val="single" w:sz="12" w:space="0" w:color="auto"/>
              <w:right w:val="single" w:sz="12" w:space="0" w:color="auto"/>
            </w:tcBorders>
            <w:shd w:val="clear" w:color="auto" w:fill="auto"/>
            <w:vAlign w:val="center"/>
            <w:hideMark/>
          </w:tcPr>
          <w:p w14:paraId="51347944"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 xml:space="preserve"> Rozdíl</w:t>
            </w:r>
          </w:p>
          <w:p w14:paraId="51347945"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16 -SR 15</w:t>
            </w:r>
          </w:p>
        </w:tc>
      </w:tr>
      <w:tr w:rsidR="00766928" w:rsidRPr="00C151FE" w14:paraId="5134794B" w14:textId="77777777" w:rsidTr="00766928">
        <w:trPr>
          <w:trHeight w:val="573"/>
        </w:trPr>
        <w:tc>
          <w:tcPr>
            <w:tcW w:w="4693" w:type="dxa"/>
            <w:tcBorders>
              <w:top w:val="single" w:sz="12" w:space="0" w:color="auto"/>
              <w:left w:val="single" w:sz="12" w:space="0" w:color="auto"/>
              <w:bottom w:val="single" w:sz="12" w:space="0" w:color="auto"/>
              <w:right w:val="single" w:sz="8" w:space="0" w:color="000000"/>
            </w:tcBorders>
            <w:shd w:val="clear" w:color="auto" w:fill="auto"/>
            <w:vAlign w:val="center"/>
            <w:hideMark/>
          </w:tcPr>
          <w:p w14:paraId="51347947" w14:textId="77777777" w:rsidR="00766928" w:rsidRPr="00C151FE" w:rsidRDefault="00766928" w:rsidP="00766928">
            <w:pPr>
              <w:spacing w:line="240" w:lineRule="auto"/>
              <w:jc w:val="left"/>
              <w:rPr>
                <w:rFonts w:ascii="Calibri" w:hAnsi="Calibri"/>
                <w:sz w:val="22"/>
                <w:szCs w:val="22"/>
              </w:rPr>
            </w:pPr>
            <w:r w:rsidRPr="00C151FE">
              <w:rPr>
                <w:rFonts w:ascii="Calibri" w:hAnsi="Calibri"/>
                <w:sz w:val="22"/>
                <w:szCs w:val="22"/>
              </w:rPr>
              <w:t>Podpora rozvoje a obnovy materiálně technické základny regionálních kulturních zařízení</w:t>
            </w:r>
          </w:p>
        </w:tc>
        <w:tc>
          <w:tcPr>
            <w:tcW w:w="1276" w:type="dxa"/>
            <w:tcBorders>
              <w:top w:val="nil"/>
              <w:left w:val="nil"/>
              <w:bottom w:val="single" w:sz="12" w:space="0" w:color="auto"/>
              <w:right w:val="single" w:sz="8" w:space="0" w:color="auto"/>
            </w:tcBorders>
            <w:shd w:val="clear" w:color="auto" w:fill="auto"/>
            <w:vAlign w:val="center"/>
            <w:hideMark/>
          </w:tcPr>
          <w:p w14:paraId="51347948" w14:textId="77777777" w:rsidR="00766928" w:rsidRPr="00C151FE" w:rsidRDefault="00766928" w:rsidP="00766928">
            <w:pPr>
              <w:spacing w:line="240" w:lineRule="auto"/>
              <w:jc w:val="right"/>
              <w:rPr>
                <w:rFonts w:ascii="Calibri" w:hAnsi="Calibri"/>
                <w:sz w:val="22"/>
                <w:szCs w:val="22"/>
              </w:rPr>
            </w:pPr>
            <w:r w:rsidRPr="00C151FE">
              <w:rPr>
                <w:rFonts w:ascii="Calibri" w:hAnsi="Calibri"/>
                <w:sz w:val="22"/>
                <w:szCs w:val="22"/>
              </w:rPr>
              <w:t>12 710 000</w:t>
            </w:r>
          </w:p>
        </w:tc>
        <w:tc>
          <w:tcPr>
            <w:tcW w:w="1417" w:type="dxa"/>
            <w:tcBorders>
              <w:top w:val="nil"/>
              <w:left w:val="nil"/>
              <w:bottom w:val="single" w:sz="12" w:space="0" w:color="auto"/>
              <w:right w:val="single" w:sz="8" w:space="0" w:color="auto"/>
            </w:tcBorders>
            <w:shd w:val="clear" w:color="auto" w:fill="auto"/>
            <w:vAlign w:val="center"/>
            <w:hideMark/>
          </w:tcPr>
          <w:p w14:paraId="51347949" w14:textId="77777777" w:rsidR="00766928" w:rsidRPr="00C151FE" w:rsidRDefault="00766928" w:rsidP="00766928">
            <w:pPr>
              <w:spacing w:line="240" w:lineRule="auto"/>
              <w:jc w:val="right"/>
              <w:rPr>
                <w:rFonts w:ascii="Calibri" w:hAnsi="Calibri"/>
                <w:sz w:val="22"/>
                <w:szCs w:val="22"/>
              </w:rPr>
            </w:pPr>
            <w:r w:rsidRPr="00C151FE">
              <w:rPr>
                <w:rFonts w:ascii="Calibri" w:hAnsi="Calibri"/>
                <w:sz w:val="22"/>
                <w:szCs w:val="22"/>
              </w:rPr>
              <w:t>75 000 000</w:t>
            </w:r>
          </w:p>
        </w:tc>
        <w:tc>
          <w:tcPr>
            <w:tcW w:w="1701" w:type="dxa"/>
            <w:tcBorders>
              <w:top w:val="nil"/>
              <w:left w:val="nil"/>
              <w:bottom w:val="single" w:sz="12" w:space="0" w:color="auto"/>
              <w:right w:val="single" w:sz="12" w:space="0" w:color="auto"/>
            </w:tcBorders>
            <w:shd w:val="clear" w:color="auto" w:fill="auto"/>
            <w:vAlign w:val="center"/>
            <w:hideMark/>
          </w:tcPr>
          <w:p w14:paraId="5134794A" w14:textId="77777777" w:rsidR="00766928" w:rsidRPr="00C151FE" w:rsidRDefault="00766928" w:rsidP="00766928">
            <w:pPr>
              <w:spacing w:line="240" w:lineRule="auto"/>
              <w:jc w:val="right"/>
              <w:rPr>
                <w:rFonts w:ascii="Calibri" w:hAnsi="Calibri"/>
                <w:sz w:val="22"/>
                <w:szCs w:val="22"/>
              </w:rPr>
            </w:pPr>
            <w:r w:rsidRPr="00C151FE">
              <w:rPr>
                <w:rFonts w:ascii="Calibri" w:hAnsi="Calibri"/>
                <w:sz w:val="22"/>
                <w:szCs w:val="22"/>
              </w:rPr>
              <w:t>62 290 000</w:t>
            </w:r>
          </w:p>
        </w:tc>
      </w:tr>
    </w:tbl>
    <w:p w14:paraId="5134794C" w14:textId="77777777" w:rsidR="00995864" w:rsidRPr="00C151FE" w:rsidRDefault="00995864" w:rsidP="00A06F71">
      <w:pPr>
        <w:spacing w:line="240" w:lineRule="auto"/>
        <w:rPr>
          <w:rFonts w:ascii="Times New Roman" w:hAnsi="Times New Roman"/>
          <w:lang w:eastAsia="en-US"/>
        </w:rPr>
      </w:pPr>
    </w:p>
    <w:p w14:paraId="5134794D" w14:textId="77777777" w:rsidR="00766928" w:rsidRPr="00C151FE" w:rsidRDefault="00004FFB" w:rsidP="00766928">
      <w:pPr>
        <w:spacing w:before="120" w:line="240" w:lineRule="auto"/>
        <w:rPr>
          <w:rFonts w:ascii="Times New Roman" w:hAnsi="Times New Roman"/>
          <w:u w:val="single"/>
        </w:rPr>
      </w:pPr>
      <w:r w:rsidRPr="00C151FE">
        <w:rPr>
          <w:rFonts w:ascii="Times New Roman" w:hAnsi="Times New Roman"/>
          <w:u w:val="single"/>
        </w:rPr>
        <w:t>Podpora reprodukce majetku regionálních kulturních zařízení</w:t>
      </w:r>
      <w:r w:rsidRPr="00C151FE">
        <w:rPr>
          <w:rFonts w:ascii="Times New Roman" w:hAnsi="Times New Roman"/>
          <w:u w:val="single"/>
        </w:rPr>
        <w:tab/>
      </w:r>
      <w:r w:rsidRPr="00C151FE">
        <w:rPr>
          <w:rFonts w:ascii="Times New Roman" w:hAnsi="Times New Roman"/>
          <w:u w:val="single"/>
        </w:rPr>
        <w:tab/>
      </w:r>
      <w:r w:rsidR="00766928" w:rsidRPr="00C151FE">
        <w:rPr>
          <w:rFonts w:ascii="Times New Roman" w:hAnsi="Times New Roman"/>
          <w:u w:val="single"/>
        </w:rPr>
        <w:t>      68 000 000 Kč</w:t>
      </w:r>
    </w:p>
    <w:p w14:paraId="5134794E" w14:textId="77777777" w:rsidR="00004FFB" w:rsidRPr="00BF4420" w:rsidRDefault="00A54038" w:rsidP="00A54038">
      <w:pPr>
        <w:spacing w:before="120" w:line="240" w:lineRule="auto"/>
        <w:rPr>
          <w:rFonts w:ascii="Times New Roman" w:hAnsi="Times New Roman"/>
        </w:rPr>
      </w:pPr>
      <w:r w:rsidRPr="00BF4420">
        <w:rPr>
          <w:rFonts w:ascii="Times New Roman" w:hAnsi="Times New Roman"/>
        </w:rPr>
        <w:t>Do</w:t>
      </w:r>
      <w:r w:rsidR="00004FFB" w:rsidRPr="00BF4420">
        <w:rPr>
          <w:rFonts w:ascii="Times New Roman" w:hAnsi="Times New Roman"/>
        </w:rPr>
        <w:t xml:space="preserve"> rozpočtu podprogramu 134D212 na rok 2016 </w:t>
      </w:r>
      <w:r w:rsidRPr="00BF4420">
        <w:rPr>
          <w:rFonts w:ascii="Times New Roman" w:hAnsi="Times New Roman"/>
        </w:rPr>
        <w:t xml:space="preserve">je promítnuta potřeba realizovat některé akce, které vyplývají z příslušných usnesení vlády, a nepodařilo se zahájit </w:t>
      </w:r>
      <w:r w:rsidR="00B5034E">
        <w:rPr>
          <w:rFonts w:ascii="Times New Roman" w:hAnsi="Times New Roman"/>
        </w:rPr>
        <w:t xml:space="preserve">jejich realizaci </w:t>
      </w:r>
      <w:r w:rsidRPr="00BF4420">
        <w:rPr>
          <w:rFonts w:ascii="Times New Roman" w:hAnsi="Times New Roman"/>
        </w:rPr>
        <w:t xml:space="preserve">v roce 2015. Současně je v rámci </w:t>
      </w:r>
      <w:r w:rsidR="00B5034E">
        <w:rPr>
          <w:rFonts w:ascii="Times New Roman" w:hAnsi="Times New Roman"/>
        </w:rPr>
        <w:t>rozpočtu</w:t>
      </w:r>
      <w:r w:rsidRPr="00BF4420">
        <w:rPr>
          <w:rFonts w:ascii="Times New Roman" w:hAnsi="Times New Roman"/>
        </w:rPr>
        <w:t>, a to i ve střednědobém výhledu</w:t>
      </w:r>
      <w:r w:rsidR="00B5034E">
        <w:rPr>
          <w:rFonts w:ascii="Times New Roman" w:hAnsi="Times New Roman"/>
        </w:rPr>
        <w:t>,</w:t>
      </w:r>
      <w:r w:rsidRPr="00BF4420">
        <w:rPr>
          <w:rFonts w:ascii="Times New Roman" w:hAnsi="Times New Roman"/>
        </w:rPr>
        <w:t xml:space="preserve"> uplatněn nový trend ve</w:t>
      </w:r>
      <w:r w:rsidR="000F28F1" w:rsidRPr="00BF4420">
        <w:rPr>
          <w:rFonts w:ascii="Times New Roman" w:hAnsi="Times New Roman"/>
        </w:rPr>
        <w:t> </w:t>
      </w:r>
      <w:r w:rsidRPr="00BF4420">
        <w:rPr>
          <w:rFonts w:ascii="Times New Roman" w:hAnsi="Times New Roman"/>
        </w:rPr>
        <w:t>smyslu potřeby realizace více akcí z regionálního prostředí.</w:t>
      </w:r>
    </w:p>
    <w:p w14:paraId="5134794F" w14:textId="77777777" w:rsidR="00004FFB" w:rsidRPr="00C151FE" w:rsidRDefault="00B664BE" w:rsidP="000F6720">
      <w:pPr>
        <w:spacing w:before="120" w:line="240" w:lineRule="auto"/>
        <w:rPr>
          <w:rFonts w:ascii="Times New Roman" w:hAnsi="Times New Roman"/>
          <w:u w:val="single"/>
        </w:rPr>
      </w:pPr>
      <w:r w:rsidRPr="00C151FE">
        <w:rPr>
          <w:rFonts w:ascii="Times New Roman" w:hAnsi="Times New Roman"/>
          <w:u w:val="single"/>
        </w:rPr>
        <w:t>Program m</w:t>
      </w:r>
      <w:r w:rsidR="00004FFB" w:rsidRPr="00C151FE">
        <w:rPr>
          <w:rFonts w:ascii="Times New Roman" w:hAnsi="Times New Roman"/>
          <w:u w:val="single"/>
        </w:rPr>
        <w:t>obilit</w:t>
      </w:r>
      <w:r w:rsidRPr="00C151FE">
        <w:rPr>
          <w:rFonts w:ascii="Times New Roman" w:hAnsi="Times New Roman"/>
          <w:u w:val="single"/>
        </w:rPr>
        <w:t>y</w:t>
      </w:r>
      <w:r w:rsidR="00004FFB" w:rsidRPr="00C151FE">
        <w:rPr>
          <w:rFonts w:ascii="Times New Roman" w:hAnsi="Times New Roman"/>
          <w:u w:val="single"/>
        </w:rPr>
        <w:t xml:space="preserve"> pro všechny</w:t>
      </w:r>
      <w:r w:rsidR="00004FFB" w:rsidRPr="00C151FE">
        <w:rPr>
          <w:rFonts w:ascii="Times New Roman" w:hAnsi="Times New Roman"/>
          <w:u w:val="single"/>
        </w:rPr>
        <w:tab/>
      </w:r>
      <w:r w:rsidR="00004FFB" w:rsidRPr="00C151FE">
        <w:rPr>
          <w:rFonts w:ascii="Times New Roman" w:hAnsi="Times New Roman"/>
          <w:u w:val="single"/>
        </w:rPr>
        <w:tab/>
      </w:r>
      <w:r w:rsidR="00004FFB" w:rsidRPr="00C151FE">
        <w:rPr>
          <w:rFonts w:ascii="Times New Roman" w:hAnsi="Times New Roman"/>
          <w:u w:val="single"/>
        </w:rPr>
        <w:tab/>
      </w:r>
      <w:r w:rsidR="00004FFB" w:rsidRPr="00C151FE">
        <w:rPr>
          <w:rFonts w:ascii="Times New Roman" w:hAnsi="Times New Roman"/>
          <w:u w:val="single"/>
        </w:rPr>
        <w:tab/>
      </w:r>
      <w:r w:rsidR="00004FFB" w:rsidRPr="00C151FE">
        <w:rPr>
          <w:rFonts w:ascii="Times New Roman" w:hAnsi="Times New Roman"/>
          <w:u w:val="single"/>
        </w:rPr>
        <w:tab/>
      </w:r>
      <w:r w:rsidR="00004FFB" w:rsidRPr="00C151FE">
        <w:rPr>
          <w:rFonts w:ascii="Times New Roman" w:hAnsi="Times New Roman"/>
          <w:u w:val="single"/>
        </w:rPr>
        <w:tab/>
      </w:r>
      <w:r w:rsidR="004B7849" w:rsidRPr="00C151FE">
        <w:rPr>
          <w:rFonts w:ascii="Times New Roman" w:hAnsi="Times New Roman"/>
          <w:u w:val="single"/>
        </w:rPr>
        <w:t>           </w:t>
      </w:r>
      <w:r w:rsidR="00004FFB" w:rsidRPr="00C151FE">
        <w:rPr>
          <w:rFonts w:ascii="Times New Roman" w:hAnsi="Times New Roman"/>
          <w:u w:val="single"/>
        </w:rPr>
        <w:t>5 000</w:t>
      </w:r>
      <w:r w:rsidR="005827DE" w:rsidRPr="00C151FE">
        <w:rPr>
          <w:rFonts w:ascii="Times New Roman" w:hAnsi="Times New Roman"/>
          <w:u w:val="single"/>
        </w:rPr>
        <w:t> </w:t>
      </w:r>
      <w:r w:rsidR="00004FFB" w:rsidRPr="00C151FE">
        <w:rPr>
          <w:rFonts w:ascii="Times New Roman" w:hAnsi="Times New Roman"/>
          <w:u w:val="single"/>
        </w:rPr>
        <w:t>000</w:t>
      </w:r>
      <w:r w:rsidR="005827DE" w:rsidRPr="00C151FE">
        <w:rPr>
          <w:rFonts w:ascii="Times New Roman" w:hAnsi="Times New Roman"/>
          <w:u w:val="single"/>
        </w:rPr>
        <w:t> </w:t>
      </w:r>
      <w:r w:rsidR="00004FFB" w:rsidRPr="00C151FE">
        <w:rPr>
          <w:rFonts w:ascii="Times New Roman" w:hAnsi="Times New Roman"/>
          <w:u w:val="single"/>
        </w:rPr>
        <w:t>Kč</w:t>
      </w:r>
    </w:p>
    <w:p w14:paraId="51347950" w14:textId="77777777" w:rsidR="00004FFB" w:rsidRPr="00C151FE" w:rsidRDefault="00EF7A92" w:rsidP="00C151FE">
      <w:pPr>
        <w:spacing w:before="120" w:line="240" w:lineRule="auto"/>
        <w:rPr>
          <w:rFonts w:ascii="Times New Roman" w:hAnsi="Times New Roman"/>
          <w:b/>
        </w:rPr>
      </w:pPr>
      <w:r w:rsidRPr="006265C8">
        <w:rPr>
          <w:rFonts w:ascii="Times New Roman" w:hAnsi="Times New Roman"/>
        </w:rPr>
        <w:t xml:space="preserve">Do rozpočtu na rok 2016 je zařazen programový titul, který vychází z potřeby realizovat usnesení vlády ČR </w:t>
      </w:r>
      <w:r w:rsidRPr="00C151FE">
        <w:rPr>
          <w:rFonts w:ascii="Times New Roman" w:hAnsi="Times New Roman"/>
        </w:rPr>
        <w:t xml:space="preserve">ze dne 26. března 2008 č. 292, jež ukládá členům vlády </w:t>
      </w:r>
      <w:r w:rsidR="0004136F" w:rsidRPr="00C151FE">
        <w:rPr>
          <w:rFonts w:ascii="Times New Roman" w:hAnsi="Times New Roman"/>
        </w:rPr>
        <w:br/>
      </w:r>
      <w:r w:rsidRPr="00C151FE">
        <w:rPr>
          <w:rFonts w:ascii="Times New Roman" w:hAnsi="Times New Roman"/>
        </w:rPr>
        <w:t xml:space="preserve">a vedoucím ostatních ústředních orgánů státní správy vyčlenit v letech 2009 – 2015 ve svých rozpočtových kapitolách finanční prostředky na zajištění úkolů Vládního plánu financování Národního rozvojového programu mobility pro všechny. </w:t>
      </w:r>
      <w:r w:rsidR="00A54038" w:rsidRPr="00C151FE">
        <w:rPr>
          <w:rFonts w:ascii="Times New Roman" w:hAnsi="Times New Roman"/>
        </w:rPr>
        <w:t xml:space="preserve">Na tomto místě je třeba uvést, že platnost tohoto usnesení končí v roce 2015, ale navrhované objemy až do roku 2018 předpokládají jeho aktualizaci. </w:t>
      </w:r>
      <w:r w:rsidR="006265C8">
        <w:rPr>
          <w:rFonts w:ascii="Times New Roman" w:hAnsi="Times New Roman"/>
        </w:rPr>
        <w:t xml:space="preserve">Rozpočtovaný </w:t>
      </w:r>
      <w:r w:rsidRPr="00C151FE">
        <w:rPr>
          <w:rFonts w:ascii="Times New Roman" w:hAnsi="Times New Roman"/>
        </w:rPr>
        <w:t>objem podprogramu (134D215) činí 5</w:t>
      </w:r>
      <w:r w:rsidR="00B5034E">
        <w:rPr>
          <w:rFonts w:ascii="Times New Roman" w:hAnsi="Times New Roman"/>
        </w:rPr>
        <w:t> </w:t>
      </w:r>
      <w:r w:rsidRPr="00C151FE">
        <w:rPr>
          <w:rFonts w:ascii="Times New Roman" w:hAnsi="Times New Roman"/>
        </w:rPr>
        <w:t>000</w:t>
      </w:r>
      <w:r w:rsidR="00B5034E">
        <w:rPr>
          <w:rFonts w:ascii="Times New Roman" w:hAnsi="Times New Roman"/>
        </w:rPr>
        <w:t> </w:t>
      </w:r>
      <w:r w:rsidRPr="00C151FE">
        <w:rPr>
          <w:rFonts w:ascii="Times New Roman" w:hAnsi="Times New Roman"/>
        </w:rPr>
        <w:t>tis.</w:t>
      </w:r>
      <w:r w:rsidR="00B5034E">
        <w:rPr>
          <w:rFonts w:ascii="Times New Roman" w:hAnsi="Times New Roman"/>
        </w:rPr>
        <w:t> </w:t>
      </w:r>
      <w:r w:rsidRPr="00C151FE">
        <w:rPr>
          <w:rFonts w:ascii="Times New Roman" w:hAnsi="Times New Roman"/>
        </w:rPr>
        <w:t xml:space="preserve">Kč. Obdobně je </w:t>
      </w:r>
      <w:r w:rsidR="006265C8">
        <w:rPr>
          <w:rFonts w:ascii="Times New Roman" w:hAnsi="Times New Roman"/>
        </w:rPr>
        <w:t xml:space="preserve">zařazena částka </w:t>
      </w:r>
      <w:r w:rsidRPr="00C151FE">
        <w:rPr>
          <w:rFonts w:ascii="Times New Roman" w:hAnsi="Times New Roman"/>
        </w:rPr>
        <w:t>i ve střednědobém výhledu.</w:t>
      </w:r>
    </w:p>
    <w:p w14:paraId="51347951" w14:textId="77777777" w:rsidR="00004FFB" w:rsidRPr="00C151FE" w:rsidRDefault="00004FFB" w:rsidP="000F6720">
      <w:pPr>
        <w:spacing w:before="120" w:line="240" w:lineRule="auto"/>
        <w:rPr>
          <w:rFonts w:ascii="Times New Roman" w:hAnsi="Times New Roman"/>
          <w:u w:val="single"/>
        </w:rPr>
      </w:pPr>
      <w:r w:rsidRPr="00C151FE">
        <w:rPr>
          <w:rFonts w:ascii="Times New Roman" w:hAnsi="Times New Roman"/>
          <w:u w:val="single"/>
        </w:rPr>
        <w:t xml:space="preserve">Podpora reprodukce majetku církví a náboženských </w:t>
      </w:r>
      <w:r w:rsidR="00B664BE" w:rsidRPr="00C151FE">
        <w:rPr>
          <w:rFonts w:ascii="Times New Roman" w:hAnsi="Times New Roman"/>
          <w:u w:val="single"/>
        </w:rPr>
        <w:t>společností</w:t>
      </w:r>
      <w:r w:rsidRPr="00C151FE">
        <w:rPr>
          <w:rFonts w:ascii="Times New Roman" w:hAnsi="Times New Roman"/>
          <w:u w:val="single"/>
        </w:rPr>
        <w:tab/>
      </w:r>
      <w:r w:rsidRPr="00C151FE">
        <w:rPr>
          <w:rFonts w:ascii="Times New Roman" w:hAnsi="Times New Roman"/>
          <w:u w:val="single"/>
        </w:rPr>
        <w:tab/>
      </w:r>
      <w:r w:rsidRPr="00C151FE">
        <w:rPr>
          <w:rFonts w:ascii="Times New Roman" w:hAnsi="Times New Roman"/>
          <w:u w:val="single"/>
        </w:rPr>
        <w:tab/>
      </w:r>
      <w:r w:rsidR="005827DE" w:rsidRPr="00C151FE">
        <w:rPr>
          <w:rFonts w:ascii="Times New Roman" w:hAnsi="Times New Roman"/>
          <w:u w:val="single"/>
        </w:rPr>
        <w:t>      </w:t>
      </w:r>
      <w:r w:rsidR="004B7849" w:rsidRPr="00C151FE">
        <w:rPr>
          <w:rFonts w:ascii="Times New Roman" w:hAnsi="Times New Roman"/>
          <w:u w:val="single"/>
        </w:rPr>
        <w:t>      </w:t>
      </w:r>
      <w:r w:rsidRPr="00C151FE">
        <w:rPr>
          <w:rFonts w:ascii="Times New Roman" w:hAnsi="Times New Roman"/>
          <w:u w:val="single"/>
        </w:rPr>
        <w:t> 0</w:t>
      </w:r>
      <w:r w:rsidR="005827DE" w:rsidRPr="00C151FE">
        <w:rPr>
          <w:rFonts w:ascii="Times New Roman" w:hAnsi="Times New Roman"/>
          <w:u w:val="single"/>
        </w:rPr>
        <w:t> </w:t>
      </w:r>
      <w:r w:rsidRPr="00C151FE">
        <w:rPr>
          <w:rFonts w:ascii="Times New Roman" w:hAnsi="Times New Roman"/>
          <w:u w:val="single"/>
        </w:rPr>
        <w:t>Kč</w:t>
      </w:r>
    </w:p>
    <w:p w14:paraId="51347952" w14:textId="77777777" w:rsidR="00004FFB" w:rsidRPr="00C151FE" w:rsidRDefault="00004FFB" w:rsidP="00C151FE">
      <w:pPr>
        <w:pStyle w:val="Zhlav"/>
        <w:spacing w:before="120"/>
        <w:rPr>
          <w:rFonts w:ascii="Times New Roman" w:hAnsi="Times New Roman"/>
        </w:rPr>
      </w:pPr>
      <w:r w:rsidRPr="00C151FE">
        <w:rPr>
          <w:rFonts w:ascii="Times New Roman" w:hAnsi="Times New Roman"/>
        </w:rPr>
        <w:t>Do rozpočtu na rok 2016 není v rámci tohoto podprogramu</w:t>
      </w:r>
      <w:r w:rsidR="0004136F" w:rsidRPr="00C151FE">
        <w:rPr>
          <w:rFonts w:ascii="Times New Roman" w:hAnsi="Times New Roman"/>
        </w:rPr>
        <w:t xml:space="preserve"> (134D412)</w:t>
      </w:r>
      <w:r w:rsidRPr="00C151FE">
        <w:rPr>
          <w:rFonts w:ascii="Times New Roman" w:hAnsi="Times New Roman"/>
        </w:rPr>
        <w:t xml:space="preserve"> zařazen žádný konkrétní titul a není </w:t>
      </w:r>
      <w:r w:rsidR="00696F40">
        <w:rPr>
          <w:rFonts w:ascii="Times New Roman" w:hAnsi="Times New Roman"/>
        </w:rPr>
        <w:t xml:space="preserve">rozpočtována </w:t>
      </w:r>
      <w:r w:rsidRPr="00C151FE">
        <w:rPr>
          <w:rFonts w:ascii="Times New Roman" w:hAnsi="Times New Roman"/>
        </w:rPr>
        <w:t>žá</w:t>
      </w:r>
      <w:r w:rsidR="00C151FE">
        <w:rPr>
          <w:rFonts w:ascii="Times New Roman" w:hAnsi="Times New Roman"/>
        </w:rPr>
        <w:t>dná výše výdajů.</w:t>
      </w:r>
    </w:p>
    <w:p w14:paraId="51347953" w14:textId="77777777" w:rsidR="00004FFB" w:rsidRPr="00C151FE" w:rsidRDefault="00004FFB" w:rsidP="000F6720">
      <w:pPr>
        <w:spacing w:before="120" w:line="240" w:lineRule="auto"/>
        <w:rPr>
          <w:rFonts w:ascii="Times New Roman" w:hAnsi="Times New Roman"/>
          <w:u w:val="single"/>
        </w:rPr>
      </w:pPr>
      <w:r w:rsidRPr="00C151FE">
        <w:rPr>
          <w:rFonts w:ascii="Times New Roman" w:hAnsi="Times New Roman"/>
          <w:u w:val="single"/>
        </w:rPr>
        <w:t xml:space="preserve">Program mobility pro církve a náboženské </w:t>
      </w:r>
      <w:r w:rsidR="00B664BE" w:rsidRPr="00C151FE">
        <w:rPr>
          <w:rFonts w:ascii="Times New Roman" w:hAnsi="Times New Roman"/>
          <w:u w:val="single"/>
        </w:rPr>
        <w:t>společnosti</w:t>
      </w:r>
      <w:r w:rsidRPr="00C151FE">
        <w:rPr>
          <w:rFonts w:ascii="Times New Roman" w:hAnsi="Times New Roman"/>
          <w:u w:val="single"/>
        </w:rPr>
        <w:tab/>
      </w:r>
      <w:r w:rsidRPr="00C151FE">
        <w:rPr>
          <w:rFonts w:ascii="Times New Roman" w:hAnsi="Times New Roman"/>
          <w:u w:val="single"/>
        </w:rPr>
        <w:tab/>
      </w:r>
      <w:r w:rsidRPr="00C151FE">
        <w:rPr>
          <w:rFonts w:ascii="Times New Roman" w:hAnsi="Times New Roman"/>
          <w:u w:val="single"/>
        </w:rPr>
        <w:tab/>
      </w:r>
      <w:r w:rsidR="004B7849" w:rsidRPr="00C151FE">
        <w:rPr>
          <w:rFonts w:ascii="Times New Roman" w:hAnsi="Times New Roman"/>
          <w:u w:val="single"/>
        </w:rPr>
        <w:t>           </w:t>
      </w:r>
      <w:r w:rsidRPr="00C151FE">
        <w:rPr>
          <w:rFonts w:ascii="Times New Roman" w:hAnsi="Times New Roman"/>
          <w:u w:val="single"/>
        </w:rPr>
        <w:t>2</w:t>
      </w:r>
      <w:r w:rsidR="005827DE" w:rsidRPr="00C151FE">
        <w:rPr>
          <w:rFonts w:ascii="Times New Roman" w:hAnsi="Times New Roman"/>
          <w:u w:val="single"/>
        </w:rPr>
        <w:t> </w:t>
      </w:r>
      <w:r w:rsidRPr="00C151FE">
        <w:rPr>
          <w:rFonts w:ascii="Times New Roman" w:hAnsi="Times New Roman"/>
          <w:u w:val="single"/>
        </w:rPr>
        <w:t>000</w:t>
      </w:r>
      <w:r w:rsidR="005827DE" w:rsidRPr="00C151FE">
        <w:rPr>
          <w:rFonts w:ascii="Times New Roman" w:hAnsi="Times New Roman"/>
          <w:u w:val="single"/>
        </w:rPr>
        <w:t> </w:t>
      </w:r>
      <w:r w:rsidRPr="00C151FE">
        <w:rPr>
          <w:rFonts w:ascii="Times New Roman" w:hAnsi="Times New Roman"/>
          <w:u w:val="single"/>
        </w:rPr>
        <w:t>000</w:t>
      </w:r>
      <w:r w:rsidR="005827DE" w:rsidRPr="00C151FE">
        <w:rPr>
          <w:rFonts w:ascii="Times New Roman" w:hAnsi="Times New Roman"/>
          <w:u w:val="single"/>
        </w:rPr>
        <w:t> </w:t>
      </w:r>
      <w:r w:rsidRPr="00C151FE">
        <w:rPr>
          <w:rFonts w:ascii="Times New Roman" w:hAnsi="Times New Roman"/>
          <w:u w:val="single"/>
        </w:rPr>
        <w:t>Kč</w:t>
      </w:r>
    </w:p>
    <w:p w14:paraId="51347954" w14:textId="77777777" w:rsidR="00EF7A92" w:rsidRPr="00BF4420" w:rsidRDefault="00EF7A92" w:rsidP="000F6720">
      <w:pPr>
        <w:spacing w:before="120" w:line="240" w:lineRule="auto"/>
        <w:rPr>
          <w:rFonts w:ascii="Times New Roman" w:hAnsi="Times New Roman"/>
        </w:rPr>
      </w:pPr>
      <w:r w:rsidRPr="00BF4420">
        <w:rPr>
          <w:rFonts w:ascii="Times New Roman" w:hAnsi="Times New Roman"/>
        </w:rPr>
        <w:t>Do rozpočtu na rok 2016 je zařazen programový titul, který vychází z potřeby realizovat usnesení vlády ČR ze dne 26. března 2008 č. 292, jež ukládá členům vlády a vedoucím ostatních ústředních orgánů státní správy vyčlenit v letech 2009 – 2015 ve svých rozpočtových kapitolách finanční prostředky na zajištění úkolů Vládního plánu financování Národního rozvojového programu mobility pro všechny.</w:t>
      </w:r>
      <w:r w:rsidR="00A54038" w:rsidRPr="00BF4420">
        <w:rPr>
          <w:rFonts w:ascii="Times New Roman" w:hAnsi="Times New Roman"/>
        </w:rPr>
        <w:t xml:space="preserve"> Na tomto místě je třeba uvést, že platnost tohoto usnesení končí v roce 2015, ale navrhované objemy až do roku 2018 předpokládají jeho aktualizaci. </w:t>
      </w:r>
      <w:r w:rsidR="006265C8">
        <w:rPr>
          <w:rFonts w:ascii="Times New Roman" w:hAnsi="Times New Roman"/>
        </w:rPr>
        <w:t>Rozpočtovaný</w:t>
      </w:r>
      <w:r w:rsidRPr="00BF4420">
        <w:rPr>
          <w:rFonts w:ascii="Times New Roman" w:hAnsi="Times New Roman"/>
        </w:rPr>
        <w:t xml:space="preserve"> objem podprogramu (134D415) činí 2</w:t>
      </w:r>
      <w:r w:rsidR="00B5034E">
        <w:rPr>
          <w:rFonts w:ascii="Times New Roman" w:hAnsi="Times New Roman"/>
        </w:rPr>
        <w:t> </w:t>
      </w:r>
      <w:r w:rsidRPr="00BF4420">
        <w:rPr>
          <w:rFonts w:ascii="Times New Roman" w:hAnsi="Times New Roman"/>
        </w:rPr>
        <w:t>000</w:t>
      </w:r>
      <w:r w:rsidR="00B5034E">
        <w:rPr>
          <w:rFonts w:ascii="Times New Roman" w:hAnsi="Times New Roman"/>
        </w:rPr>
        <w:t> </w:t>
      </w:r>
      <w:r w:rsidRPr="00BF4420">
        <w:rPr>
          <w:rFonts w:ascii="Times New Roman" w:hAnsi="Times New Roman"/>
        </w:rPr>
        <w:t>tis.</w:t>
      </w:r>
      <w:r w:rsidR="00B5034E">
        <w:rPr>
          <w:rFonts w:ascii="Times New Roman" w:hAnsi="Times New Roman"/>
        </w:rPr>
        <w:t> </w:t>
      </w:r>
      <w:r w:rsidRPr="00BF4420">
        <w:rPr>
          <w:rFonts w:ascii="Times New Roman" w:hAnsi="Times New Roman"/>
        </w:rPr>
        <w:t xml:space="preserve">Kč. Obdobně je </w:t>
      </w:r>
      <w:r w:rsidR="006265C8">
        <w:rPr>
          <w:rFonts w:ascii="Times New Roman" w:hAnsi="Times New Roman"/>
        </w:rPr>
        <w:t xml:space="preserve">zařazena částka </w:t>
      </w:r>
      <w:r w:rsidRPr="00BF4420">
        <w:rPr>
          <w:rFonts w:ascii="Times New Roman" w:hAnsi="Times New Roman"/>
        </w:rPr>
        <w:t>i</w:t>
      </w:r>
      <w:r w:rsidR="006265C8">
        <w:rPr>
          <w:rFonts w:ascii="Times New Roman" w:hAnsi="Times New Roman"/>
        </w:rPr>
        <w:t xml:space="preserve"> </w:t>
      </w:r>
      <w:r w:rsidRPr="00BF4420">
        <w:rPr>
          <w:rFonts w:ascii="Times New Roman" w:hAnsi="Times New Roman"/>
        </w:rPr>
        <w:t>ve střednědobém výhledu.</w:t>
      </w:r>
    </w:p>
    <w:p w14:paraId="51347955" w14:textId="77777777" w:rsidR="00E62F75" w:rsidRPr="00BF4420" w:rsidRDefault="00E62F75" w:rsidP="000F6720">
      <w:pPr>
        <w:spacing w:before="120" w:line="240" w:lineRule="auto"/>
        <w:rPr>
          <w:rFonts w:ascii="Times New Roman" w:hAnsi="Times New Roman"/>
        </w:rPr>
      </w:pPr>
    </w:p>
    <w:p w14:paraId="51347956" w14:textId="77777777" w:rsidR="00004FFB" w:rsidRPr="00E96118" w:rsidRDefault="00004FFB" w:rsidP="00E62F75">
      <w:pPr>
        <w:pStyle w:val="Nadpis2"/>
      </w:pPr>
      <w:bookmarkStart w:id="15" w:name="_Toc431911989"/>
      <w:r w:rsidRPr="00E96118">
        <w:t>B. IX. Státní fond kinematografie</w:t>
      </w:r>
      <w:bookmarkEnd w:id="15"/>
    </w:p>
    <w:p w14:paraId="51347957" w14:textId="77777777" w:rsidR="00004FFB" w:rsidRPr="00202815" w:rsidRDefault="00995864" w:rsidP="00004FFB">
      <w:pPr>
        <w:rPr>
          <w:rFonts w:ascii="Times New Roman" w:hAnsi="Times New Roman"/>
          <w:sz w:val="20"/>
        </w:rPr>
      </w:pPr>
      <w:r w:rsidRPr="00E96118">
        <w:rPr>
          <w:rFonts w:ascii="Times New Roman" w:hAnsi="Times New Roman"/>
        </w:rPr>
        <w:tab/>
      </w:r>
      <w:r w:rsidRPr="00C151FE">
        <w:rPr>
          <w:rFonts w:ascii="Times New Roman" w:hAnsi="Times New Roman"/>
        </w:rPr>
        <w:tab/>
      </w:r>
      <w:r w:rsidRPr="00C151FE">
        <w:rPr>
          <w:rFonts w:ascii="Times New Roman" w:hAnsi="Times New Roman"/>
        </w:rPr>
        <w:tab/>
      </w:r>
      <w:r w:rsidRPr="00C151FE">
        <w:rPr>
          <w:rFonts w:ascii="Times New Roman" w:hAnsi="Times New Roman"/>
        </w:rPr>
        <w:tab/>
      </w:r>
      <w:r w:rsidRPr="00C151FE">
        <w:rPr>
          <w:rFonts w:ascii="Times New Roman" w:hAnsi="Times New Roman"/>
        </w:rPr>
        <w:tab/>
      </w:r>
      <w:r w:rsidRPr="00C151FE">
        <w:rPr>
          <w:rFonts w:ascii="Times New Roman" w:hAnsi="Times New Roman"/>
        </w:rPr>
        <w:tab/>
      </w:r>
      <w:r w:rsidRPr="00C151FE">
        <w:rPr>
          <w:rFonts w:ascii="Times New Roman" w:hAnsi="Times New Roman"/>
        </w:rPr>
        <w:tab/>
      </w:r>
      <w:r w:rsidRPr="00C151FE">
        <w:rPr>
          <w:rFonts w:ascii="Times New Roman" w:hAnsi="Times New Roman"/>
        </w:rPr>
        <w:tab/>
      </w:r>
      <w:r w:rsidRPr="00C151FE">
        <w:rPr>
          <w:rFonts w:ascii="Times New Roman" w:hAnsi="Times New Roman"/>
        </w:rPr>
        <w:tab/>
      </w:r>
      <w:r w:rsidRPr="00C151FE">
        <w:rPr>
          <w:rFonts w:ascii="Times New Roman" w:hAnsi="Times New Roman"/>
        </w:rPr>
        <w:tab/>
      </w:r>
      <w:r w:rsidRPr="00C151FE">
        <w:rPr>
          <w:rFonts w:ascii="Times New Roman" w:hAnsi="Times New Roman"/>
        </w:rPr>
        <w:tab/>
      </w:r>
      <w:r w:rsidRPr="00C151FE">
        <w:rPr>
          <w:rFonts w:ascii="Times New Roman" w:hAnsi="Times New Roman"/>
        </w:rPr>
        <w:tab/>
      </w:r>
      <w:r w:rsidRPr="00202815">
        <w:rPr>
          <w:rFonts w:ascii="Times New Roman" w:hAnsi="Times New Roman"/>
          <w:sz w:val="20"/>
        </w:rPr>
        <w:t>v Kč</w:t>
      </w:r>
    </w:p>
    <w:tbl>
      <w:tblPr>
        <w:tblW w:w="9087" w:type="dxa"/>
        <w:tblInd w:w="55" w:type="dxa"/>
        <w:tblCellMar>
          <w:left w:w="70" w:type="dxa"/>
          <w:right w:w="70" w:type="dxa"/>
        </w:tblCellMar>
        <w:tblLook w:val="04A0" w:firstRow="1" w:lastRow="0" w:firstColumn="1" w:lastColumn="0" w:noHBand="0" w:noVBand="1"/>
      </w:tblPr>
      <w:tblGrid>
        <w:gridCol w:w="400"/>
        <w:gridCol w:w="3584"/>
        <w:gridCol w:w="1701"/>
        <w:gridCol w:w="1560"/>
        <w:gridCol w:w="1842"/>
      </w:tblGrid>
      <w:tr w:rsidR="00015522" w:rsidRPr="00C151FE" w14:paraId="5134795D" w14:textId="77777777" w:rsidTr="00995864">
        <w:trPr>
          <w:trHeight w:val="600"/>
        </w:trPr>
        <w:tc>
          <w:tcPr>
            <w:tcW w:w="3984" w:type="dxa"/>
            <w:gridSpan w:val="2"/>
            <w:tcBorders>
              <w:top w:val="single" w:sz="12" w:space="0" w:color="auto"/>
              <w:left w:val="single" w:sz="12" w:space="0" w:color="auto"/>
              <w:bottom w:val="single" w:sz="12" w:space="0" w:color="auto"/>
              <w:right w:val="single" w:sz="8" w:space="0" w:color="000000"/>
            </w:tcBorders>
            <w:shd w:val="clear" w:color="auto" w:fill="auto"/>
            <w:vAlign w:val="center"/>
            <w:hideMark/>
          </w:tcPr>
          <w:p w14:paraId="51347958" w14:textId="77777777" w:rsidR="00015522" w:rsidRPr="00C151FE" w:rsidRDefault="00015522" w:rsidP="00995864">
            <w:pPr>
              <w:spacing w:line="240" w:lineRule="auto"/>
              <w:jc w:val="center"/>
              <w:rPr>
                <w:rFonts w:ascii="Calibri" w:hAnsi="Calibri"/>
                <w:b/>
                <w:bCs/>
                <w:sz w:val="22"/>
                <w:szCs w:val="22"/>
              </w:rPr>
            </w:pPr>
            <w:r w:rsidRPr="00C151FE">
              <w:rPr>
                <w:rFonts w:ascii="Calibri" w:hAnsi="Calibri"/>
                <w:b/>
                <w:bCs/>
                <w:sz w:val="22"/>
                <w:szCs w:val="22"/>
              </w:rPr>
              <w:t>Výdajový blok/okruh</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51347959"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SR 2015</w:t>
            </w:r>
          </w:p>
        </w:tc>
        <w:tc>
          <w:tcPr>
            <w:tcW w:w="1560" w:type="dxa"/>
            <w:tcBorders>
              <w:top w:val="single" w:sz="12" w:space="0" w:color="auto"/>
              <w:left w:val="nil"/>
              <w:bottom w:val="single" w:sz="12" w:space="0" w:color="auto"/>
              <w:right w:val="single" w:sz="8" w:space="0" w:color="auto"/>
            </w:tcBorders>
            <w:shd w:val="clear" w:color="auto" w:fill="auto"/>
            <w:vAlign w:val="center"/>
            <w:hideMark/>
          </w:tcPr>
          <w:p w14:paraId="5134795A"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2016</w:t>
            </w:r>
          </w:p>
        </w:tc>
        <w:tc>
          <w:tcPr>
            <w:tcW w:w="1842" w:type="dxa"/>
            <w:tcBorders>
              <w:top w:val="single" w:sz="12" w:space="0" w:color="auto"/>
              <w:left w:val="nil"/>
              <w:bottom w:val="single" w:sz="12" w:space="0" w:color="auto"/>
              <w:right w:val="single" w:sz="12" w:space="0" w:color="auto"/>
            </w:tcBorders>
            <w:shd w:val="clear" w:color="auto" w:fill="auto"/>
            <w:vAlign w:val="center"/>
            <w:hideMark/>
          </w:tcPr>
          <w:p w14:paraId="5134795B"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 xml:space="preserve"> Rozdíl</w:t>
            </w:r>
          </w:p>
          <w:p w14:paraId="5134795C"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16 -SR 15</w:t>
            </w:r>
          </w:p>
        </w:tc>
      </w:tr>
      <w:tr w:rsidR="00BF779C" w:rsidRPr="00C151FE" w14:paraId="51347962" w14:textId="77777777" w:rsidTr="00995864">
        <w:trPr>
          <w:trHeight w:val="312"/>
        </w:trPr>
        <w:tc>
          <w:tcPr>
            <w:tcW w:w="3984" w:type="dxa"/>
            <w:gridSpan w:val="2"/>
            <w:tcBorders>
              <w:top w:val="single" w:sz="12" w:space="0" w:color="auto"/>
              <w:left w:val="single" w:sz="12" w:space="0" w:color="auto"/>
              <w:bottom w:val="single" w:sz="8" w:space="0" w:color="auto"/>
              <w:right w:val="single" w:sz="8" w:space="0" w:color="000000"/>
            </w:tcBorders>
            <w:shd w:val="clear" w:color="auto" w:fill="auto"/>
            <w:vAlign w:val="center"/>
            <w:hideMark/>
          </w:tcPr>
          <w:p w14:paraId="5134795E" w14:textId="77777777" w:rsidR="00995864" w:rsidRPr="00C151FE" w:rsidRDefault="00995864" w:rsidP="00995864">
            <w:pPr>
              <w:spacing w:line="240" w:lineRule="auto"/>
              <w:jc w:val="left"/>
              <w:rPr>
                <w:rFonts w:ascii="Calibri" w:hAnsi="Calibri"/>
                <w:sz w:val="22"/>
                <w:szCs w:val="22"/>
              </w:rPr>
            </w:pPr>
            <w:r w:rsidRPr="00C151FE">
              <w:rPr>
                <w:rFonts w:ascii="Calibri" w:hAnsi="Calibri"/>
                <w:sz w:val="22"/>
                <w:szCs w:val="22"/>
              </w:rPr>
              <w:t>Státní fond kinematografie</w:t>
            </w:r>
          </w:p>
        </w:tc>
        <w:tc>
          <w:tcPr>
            <w:tcW w:w="1701" w:type="dxa"/>
            <w:tcBorders>
              <w:top w:val="nil"/>
              <w:left w:val="nil"/>
              <w:bottom w:val="single" w:sz="8" w:space="0" w:color="auto"/>
              <w:right w:val="single" w:sz="8" w:space="0" w:color="auto"/>
            </w:tcBorders>
            <w:shd w:val="clear" w:color="auto" w:fill="auto"/>
            <w:vAlign w:val="center"/>
            <w:hideMark/>
          </w:tcPr>
          <w:p w14:paraId="5134795F" w14:textId="77777777" w:rsidR="00995864" w:rsidRPr="00C151FE" w:rsidRDefault="00995864" w:rsidP="00995864">
            <w:pPr>
              <w:spacing w:line="240" w:lineRule="auto"/>
              <w:jc w:val="right"/>
              <w:rPr>
                <w:rFonts w:ascii="Calibri" w:hAnsi="Calibri"/>
                <w:sz w:val="22"/>
                <w:szCs w:val="22"/>
              </w:rPr>
            </w:pPr>
            <w:r w:rsidRPr="00C151FE">
              <w:rPr>
                <w:rFonts w:ascii="Calibri" w:hAnsi="Calibri"/>
                <w:sz w:val="22"/>
                <w:szCs w:val="22"/>
              </w:rPr>
              <w:t>501 891 400</w:t>
            </w:r>
          </w:p>
        </w:tc>
        <w:tc>
          <w:tcPr>
            <w:tcW w:w="1560" w:type="dxa"/>
            <w:tcBorders>
              <w:top w:val="nil"/>
              <w:left w:val="nil"/>
              <w:bottom w:val="single" w:sz="8" w:space="0" w:color="auto"/>
              <w:right w:val="single" w:sz="8" w:space="0" w:color="auto"/>
            </w:tcBorders>
            <w:shd w:val="clear" w:color="auto" w:fill="auto"/>
            <w:vAlign w:val="center"/>
            <w:hideMark/>
          </w:tcPr>
          <w:p w14:paraId="51347960" w14:textId="77777777" w:rsidR="00995864" w:rsidRPr="00C151FE" w:rsidRDefault="00BF779C" w:rsidP="00995864">
            <w:pPr>
              <w:spacing w:line="240" w:lineRule="auto"/>
              <w:jc w:val="right"/>
              <w:rPr>
                <w:rFonts w:ascii="Calibri" w:hAnsi="Calibri"/>
                <w:sz w:val="22"/>
                <w:szCs w:val="22"/>
              </w:rPr>
            </w:pPr>
            <w:r w:rsidRPr="00C151FE">
              <w:rPr>
                <w:rFonts w:ascii="Calibri" w:hAnsi="Calibri"/>
                <w:sz w:val="22"/>
                <w:szCs w:val="22"/>
              </w:rPr>
              <w:t>98</w:t>
            </w:r>
            <w:r w:rsidR="00995864" w:rsidRPr="00C151FE">
              <w:rPr>
                <w:rFonts w:ascii="Calibri" w:hAnsi="Calibri"/>
                <w:sz w:val="22"/>
                <w:szCs w:val="22"/>
              </w:rPr>
              <w:t>1 800 000</w:t>
            </w:r>
          </w:p>
        </w:tc>
        <w:tc>
          <w:tcPr>
            <w:tcW w:w="1842" w:type="dxa"/>
            <w:tcBorders>
              <w:top w:val="nil"/>
              <w:left w:val="nil"/>
              <w:bottom w:val="single" w:sz="8" w:space="0" w:color="auto"/>
              <w:right w:val="single" w:sz="12" w:space="0" w:color="auto"/>
            </w:tcBorders>
            <w:shd w:val="clear" w:color="auto" w:fill="auto"/>
            <w:vAlign w:val="center"/>
            <w:hideMark/>
          </w:tcPr>
          <w:p w14:paraId="51347961" w14:textId="77777777" w:rsidR="00995864" w:rsidRPr="00C151FE" w:rsidRDefault="00BF779C" w:rsidP="00995864">
            <w:pPr>
              <w:spacing w:line="240" w:lineRule="auto"/>
              <w:jc w:val="right"/>
              <w:rPr>
                <w:rFonts w:ascii="Calibri" w:hAnsi="Calibri"/>
                <w:sz w:val="22"/>
                <w:szCs w:val="22"/>
              </w:rPr>
            </w:pPr>
            <w:r w:rsidRPr="00C151FE">
              <w:rPr>
                <w:rFonts w:ascii="Calibri" w:hAnsi="Calibri"/>
                <w:sz w:val="22"/>
                <w:szCs w:val="22"/>
              </w:rPr>
              <w:t>479 908 600</w:t>
            </w:r>
          </w:p>
        </w:tc>
      </w:tr>
      <w:tr w:rsidR="00BF779C" w:rsidRPr="00C151FE" w14:paraId="51347968" w14:textId="77777777" w:rsidTr="00995864">
        <w:trPr>
          <w:trHeight w:val="300"/>
        </w:trPr>
        <w:tc>
          <w:tcPr>
            <w:tcW w:w="400" w:type="dxa"/>
            <w:tcBorders>
              <w:top w:val="nil"/>
              <w:left w:val="single" w:sz="12" w:space="0" w:color="auto"/>
              <w:bottom w:val="single" w:sz="8" w:space="0" w:color="auto"/>
              <w:right w:val="single" w:sz="8" w:space="0" w:color="auto"/>
            </w:tcBorders>
            <w:shd w:val="clear" w:color="auto" w:fill="auto"/>
            <w:vAlign w:val="center"/>
            <w:hideMark/>
          </w:tcPr>
          <w:p w14:paraId="51347963" w14:textId="77777777" w:rsidR="00995864" w:rsidRPr="00C151FE" w:rsidRDefault="00995864" w:rsidP="00995864">
            <w:pPr>
              <w:spacing w:line="240" w:lineRule="auto"/>
              <w:jc w:val="left"/>
              <w:rPr>
                <w:rFonts w:ascii="Calibri" w:hAnsi="Calibri"/>
                <w:sz w:val="22"/>
                <w:szCs w:val="22"/>
              </w:rPr>
            </w:pPr>
            <w:r w:rsidRPr="00C151FE">
              <w:rPr>
                <w:rFonts w:ascii="Calibri" w:hAnsi="Calibri"/>
                <w:sz w:val="22"/>
                <w:szCs w:val="22"/>
              </w:rPr>
              <w:t>a)</w:t>
            </w:r>
          </w:p>
        </w:tc>
        <w:tc>
          <w:tcPr>
            <w:tcW w:w="3584" w:type="dxa"/>
            <w:tcBorders>
              <w:top w:val="nil"/>
              <w:left w:val="nil"/>
              <w:bottom w:val="single" w:sz="8" w:space="0" w:color="auto"/>
              <w:right w:val="single" w:sz="8" w:space="0" w:color="auto"/>
            </w:tcBorders>
            <w:shd w:val="clear" w:color="auto" w:fill="auto"/>
            <w:vAlign w:val="center"/>
            <w:hideMark/>
          </w:tcPr>
          <w:p w14:paraId="51347964" w14:textId="77777777" w:rsidR="00995864" w:rsidRPr="00C151FE" w:rsidRDefault="00995864" w:rsidP="00995864">
            <w:pPr>
              <w:spacing w:line="240" w:lineRule="auto"/>
              <w:jc w:val="left"/>
              <w:rPr>
                <w:rFonts w:ascii="Calibri" w:hAnsi="Calibri"/>
                <w:sz w:val="22"/>
                <w:szCs w:val="22"/>
              </w:rPr>
            </w:pPr>
            <w:r w:rsidRPr="00C151FE">
              <w:rPr>
                <w:rFonts w:ascii="Calibri" w:hAnsi="Calibri"/>
                <w:sz w:val="22"/>
                <w:szCs w:val="22"/>
              </w:rPr>
              <w:t>Dotace na filmové pobídky</w:t>
            </w:r>
          </w:p>
        </w:tc>
        <w:tc>
          <w:tcPr>
            <w:tcW w:w="1701" w:type="dxa"/>
            <w:tcBorders>
              <w:top w:val="nil"/>
              <w:left w:val="nil"/>
              <w:bottom w:val="single" w:sz="8" w:space="0" w:color="auto"/>
              <w:right w:val="single" w:sz="8" w:space="0" w:color="auto"/>
            </w:tcBorders>
            <w:shd w:val="clear" w:color="auto" w:fill="auto"/>
            <w:vAlign w:val="center"/>
            <w:hideMark/>
          </w:tcPr>
          <w:p w14:paraId="51347965" w14:textId="77777777" w:rsidR="00995864" w:rsidRPr="00C151FE" w:rsidRDefault="00995864" w:rsidP="00995864">
            <w:pPr>
              <w:spacing w:line="240" w:lineRule="auto"/>
              <w:jc w:val="right"/>
              <w:rPr>
                <w:rFonts w:ascii="Calibri" w:hAnsi="Calibri"/>
                <w:sz w:val="22"/>
                <w:szCs w:val="22"/>
              </w:rPr>
            </w:pPr>
            <w:r w:rsidRPr="00C151FE">
              <w:rPr>
                <w:rFonts w:ascii="Calibri" w:hAnsi="Calibri"/>
                <w:sz w:val="22"/>
                <w:szCs w:val="22"/>
              </w:rPr>
              <w:t>500 000 000</w:t>
            </w:r>
          </w:p>
        </w:tc>
        <w:tc>
          <w:tcPr>
            <w:tcW w:w="1560" w:type="dxa"/>
            <w:tcBorders>
              <w:top w:val="nil"/>
              <w:left w:val="nil"/>
              <w:bottom w:val="single" w:sz="8" w:space="0" w:color="auto"/>
              <w:right w:val="single" w:sz="8" w:space="0" w:color="auto"/>
            </w:tcBorders>
            <w:shd w:val="clear" w:color="auto" w:fill="auto"/>
            <w:vAlign w:val="center"/>
            <w:hideMark/>
          </w:tcPr>
          <w:p w14:paraId="51347966" w14:textId="77777777" w:rsidR="00995864" w:rsidRPr="00C151FE" w:rsidRDefault="00BF779C" w:rsidP="00995864">
            <w:pPr>
              <w:spacing w:line="240" w:lineRule="auto"/>
              <w:jc w:val="right"/>
              <w:rPr>
                <w:rFonts w:ascii="Calibri" w:hAnsi="Calibri"/>
                <w:sz w:val="22"/>
                <w:szCs w:val="22"/>
              </w:rPr>
            </w:pPr>
            <w:r w:rsidRPr="00C151FE">
              <w:rPr>
                <w:rFonts w:ascii="Calibri" w:hAnsi="Calibri"/>
                <w:sz w:val="22"/>
                <w:szCs w:val="22"/>
              </w:rPr>
              <w:t>8</w:t>
            </w:r>
            <w:r w:rsidR="00995864" w:rsidRPr="00C151FE">
              <w:rPr>
                <w:rFonts w:ascii="Calibri" w:hAnsi="Calibri"/>
                <w:sz w:val="22"/>
                <w:szCs w:val="22"/>
              </w:rPr>
              <w:t>00 000 000</w:t>
            </w:r>
          </w:p>
        </w:tc>
        <w:tc>
          <w:tcPr>
            <w:tcW w:w="1842" w:type="dxa"/>
            <w:tcBorders>
              <w:top w:val="nil"/>
              <w:left w:val="nil"/>
              <w:bottom w:val="single" w:sz="8" w:space="0" w:color="auto"/>
              <w:right w:val="single" w:sz="12" w:space="0" w:color="auto"/>
            </w:tcBorders>
            <w:shd w:val="clear" w:color="auto" w:fill="auto"/>
            <w:vAlign w:val="center"/>
            <w:hideMark/>
          </w:tcPr>
          <w:p w14:paraId="51347967" w14:textId="77777777" w:rsidR="00995864" w:rsidRPr="00C151FE" w:rsidRDefault="00BF779C" w:rsidP="00995864">
            <w:pPr>
              <w:spacing w:line="240" w:lineRule="auto"/>
              <w:jc w:val="right"/>
              <w:rPr>
                <w:rFonts w:ascii="Calibri" w:hAnsi="Calibri"/>
                <w:sz w:val="22"/>
                <w:szCs w:val="22"/>
              </w:rPr>
            </w:pPr>
            <w:r w:rsidRPr="00C151FE">
              <w:rPr>
                <w:rFonts w:ascii="Calibri" w:hAnsi="Calibri"/>
                <w:sz w:val="22"/>
                <w:szCs w:val="22"/>
              </w:rPr>
              <w:t>300 000 00</w:t>
            </w:r>
            <w:r w:rsidR="00995864" w:rsidRPr="00C151FE">
              <w:rPr>
                <w:rFonts w:ascii="Calibri" w:hAnsi="Calibri"/>
                <w:sz w:val="22"/>
                <w:szCs w:val="22"/>
              </w:rPr>
              <w:t>0</w:t>
            </w:r>
          </w:p>
        </w:tc>
      </w:tr>
      <w:tr w:rsidR="00BF779C" w:rsidRPr="00C151FE" w14:paraId="5134796E" w14:textId="77777777" w:rsidTr="00995864">
        <w:trPr>
          <w:trHeight w:val="300"/>
        </w:trPr>
        <w:tc>
          <w:tcPr>
            <w:tcW w:w="400" w:type="dxa"/>
            <w:tcBorders>
              <w:top w:val="nil"/>
              <w:left w:val="single" w:sz="12" w:space="0" w:color="auto"/>
              <w:bottom w:val="single" w:sz="12" w:space="0" w:color="auto"/>
              <w:right w:val="single" w:sz="8" w:space="0" w:color="auto"/>
            </w:tcBorders>
            <w:shd w:val="clear" w:color="auto" w:fill="auto"/>
            <w:vAlign w:val="center"/>
            <w:hideMark/>
          </w:tcPr>
          <w:p w14:paraId="51347969" w14:textId="77777777" w:rsidR="00995864" w:rsidRPr="00C151FE" w:rsidRDefault="00995864" w:rsidP="00995864">
            <w:pPr>
              <w:spacing w:line="240" w:lineRule="auto"/>
              <w:jc w:val="left"/>
              <w:rPr>
                <w:rFonts w:ascii="Calibri" w:hAnsi="Calibri"/>
                <w:sz w:val="22"/>
                <w:szCs w:val="22"/>
              </w:rPr>
            </w:pPr>
            <w:r w:rsidRPr="00C151FE">
              <w:rPr>
                <w:rFonts w:ascii="Calibri" w:hAnsi="Calibri"/>
                <w:sz w:val="22"/>
                <w:szCs w:val="22"/>
              </w:rPr>
              <w:t>b)</w:t>
            </w:r>
          </w:p>
        </w:tc>
        <w:tc>
          <w:tcPr>
            <w:tcW w:w="3584" w:type="dxa"/>
            <w:tcBorders>
              <w:top w:val="nil"/>
              <w:left w:val="nil"/>
              <w:bottom w:val="single" w:sz="12" w:space="0" w:color="auto"/>
              <w:right w:val="single" w:sz="8" w:space="0" w:color="auto"/>
            </w:tcBorders>
            <w:shd w:val="clear" w:color="auto" w:fill="auto"/>
            <w:vAlign w:val="center"/>
            <w:hideMark/>
          </w:tcPr>
          <w:p w14:paraId="5134796A" w14:textId="77777777" w:rsidR="00995864" w:rsidRPr="00C151FE" w:rsidRDefault="00995864" w:rsidP="00995864">
            <w:pPr>
              <w:spacing w:line="240" w:lineRule="auto"/>
              <w:jc w:val="left"/>
              <w:rPr>
                <w:rFonts w:ascii="Calibri" w:hAnsi="Calibri"/>
                <w:sz w:val="22"/>
                <w:szCs w:val="22"/>
              </w:rPr>
            </w:pPr>
            <w:r w:rsidRPr="00C151FE">
              <w:rPr>
                <w:rFonts w:ascii="Calibri" w:hAnsi="Calibri"/>
                <w:sz w:val="22"/>
                <w:szCs w:val="22"/>
              </w:rPr>
              <w:t>Dotace ze státního rozpočtu</w:t>
            </w:r>
          </w:p>
        </w:tc>
        <w:tc>
          <w:tcPr>
            <w:tcW w:w="1701" w:type="dxa"/>
            <w:tcBorders>
              <w:top w:val="nil"/>
              <w:left w:val="nil"/>
              <w:bottom w:val="single" w:sz="12" w:space="0" w:color="auto"/>
              <w:right w:val="single" w:sz="8" w:space="0" w:color="auto"/>
            </w:tcBorders>
            <w:shd w:val="clear" w:color="auto" w:fill="auto"/>
            <w:vAlign w:val="center"/>
            <w:hideMark/>
          </w:tcPr>
          <w:p w14:paraId="5134796B" w14:textId="77777777" w:rsidR="00995864" w:rsidRPr="00C151FE" w:rsidRDefault="00995864" w:rsidP="00995864">
            <w:pPr>
              <w:spacing w:line="240" w:lineRule="auto"/>
              <w:jc w:val="right"/>
              <w:rPr>
                <w:rFonts w:ascii="Calibri" w:hAnsi="Calibri"/>
                <w:sz w:val="22"/>
                <w:szCs w:val="22"/>
              </w:rPr>
            </w:pPr>
            <w:r w:rsidRPr="00C151FE">
              <w:rPr>
                <w:rFonts w:ascii="Calibri" w:hAnsi="Calibri"/>
                <w:sz w:val="22"/>
                <w:szCs w:val="22"/>
              </w:rPr>
              <w:t>1 891 400</w:t>
            </w:r>
          </w:p>
        </w:tc>
        <w:tc>
          <w:tcPr>
            <w:tcW w:w="1560" w:type="dxa"/>
            <w:tcBorders>
              <w:top w:val="nil"/>
              <w:left w:val="nil"/>
              <w:bottom w:val="single" w:sz="12" w:space="0" w:color="auto"/>
              <w:right w:val="single" w:sz="8" w:space="0" w:color="auto"/>
            </w:tcBorders>
            <w:shd w:val="clear" w:color="auto" w:fill="auto"/>
            <w:vAlign w:val="center"/>
            <w:hideMark/>
          </w:tcPr>
          <w:p w14:paraId="5134796C" w14:textId="77777777" w:rsidR="00995864" w:rsidRPr="00C151FE" w:rsidRDefault="00995864" w:rsidP="00995864">
            <w:pPr>
              <w:spacing w:line="240" w:lineRule="auto"/>
              <w:jc w:val="right"/>
              <w:rPr>
                <w:rFonts w:ascii="Calibri" w:hAnsi="Calibri"/>
                <w:sz w:val="22"/>
                <w:szCs w:val="22"/>
              </w:rPr>
            </w:pPr>
            <w:r w:rsidRPr="00C151FE">
              <w:rPr>
                <w:rFonts w:ascii="Calibri" w:hAnsi="Calibri"/>
                <w:sz w:val="22"/>
                <w:szCs w:val="22"/>
              </w:rPr>
              <w:t>1</w:t>
            </w:r>
            <w:r w:rsidR="00BF779C" w:rsidRPr="00C151FE">
              <w:rPr>
                <w:rFonts w:ascii="Calibri" w:hAnsi="Calibri"/>
                <w:sz w:val="22"/>
                <w:szCs w:val="22"/>
              </w:rPr>
              <w:t>81</w:t>
            </w:r>
            <w:r w:rsidRPr="00C151FE">
              <w:rPr>
                <w:rFonts w:ascii="Calibri" w:hAnsi="Calibri"/>
                <w:sz w:val="22"/>
                <w:szCs w:val="22"/>
              </w:rPr>
              <w:t xml:space="preserve"> 800 000</w:t>
            </w:r>
          </w:p>
        </w:tc>
        <w:tc>
          <w:tcPr>
            <w:tcW w:w="1842" w:type="dxa"/>
            <w:tcBorders>
              <w:top w:val="nil"/>
              <w:left w:val="nil"/>
              <w:bottom w:val="single" w:sz="12" w:space="0" w:color="auto"/>
              <w:right w:val="single" w:sz="12" w:space="0" w:color="auto"/>
            </w:tcBorders>
            <w:shd w:val="clear" w:color="auto" w:fill="auto"/>
            <w:vAlign w:val="center"/>
            <w:hideMark/>
          </w:tcPr>
          <w:p w14:paraId="5134796D" w14:textId="77777777" w:rsidR="00995864" w:rsidRPr="00C151FE" w:rsidRDefault="00BF779C" w:rsidP="00BF779C">
            <w:pPr>
              <w:spacing w:line="240" w:lineRule="auto"/>
              <w:jc w:val="right"/>
              <w:rPr>
                <w:rFonts w:ascii="Calibri" w:hAnsi="Calibri"/>
                <w:sz w:val="22"/>
                <w:szCs w:val="22"/>
              </w:rPr>
            </w:pPr>
            <w:r w:rsidRPr="00C151FE">
              <w:rPr>
                <w:rFonts w:ascii="Calibri" w:hAnsi="Calibri"/>
                <w:sz w:val="22"/>
                <w:szCs w:val="22"/>
              </w:rPr>
              <w:t>179 908 600</w:t>
            </w:r>
          </w:p>
        </w:tc>
      </w:tr>
    </w:tbl>
    <w:p w14:paraId="5134796F" w14:textId="77777777" w:rsidR="00004FFB" w:rsidRPr="00C151FE" w:rsidRDefault="00004FFB" w:rsidP="000F6720">
      <w:pPr>
        <w:spacing w:before="120" w:line="240" w:lineRule="auto"/>
        <w:rPr>
          <w:rFonts w:ascii="Times New Roman" w:hAnsi="Times New Roman"/>
        </w:rPr>
      </w:pPr>
      <w:r w:rsidRPr="00C151FE">
        <w:rPr>
          <w:rFonts w:ascii="Times New Roman" w:hAnsi="Times New Roman"/>
        </w:rPr>
        <w:lastRenderedPageBreak/>
        <w:t>V roce 2010 byl vládou ČR přijat program Podpory filmového průmyslu. Účelem bylo zvýšení jeho konkurenceschopnosti. Podpora svým nastavením zasahuje významně i</w:t>
      </w:r>
      <w:r w:rsidR="00664560" w:rsidRPr="00C151FE">
        <w:rPr>
          <w:rFonts w:ascii="Times New Roman" w:hAnsi="Times New Roman"/>
        </w:rPr>
        <w:t> </w:t>
      </w:r>
      <w:r w:rsidRPr="00C151FE">
        <w:rPr>
          <w:rFonts w:ascii="Times New Roman" w:hAnsi="Times New Roman"/>
        </w:rPr>
        <w:t>do</w:t>
      </w:r>
      <w:r w:rsidR="00664560" w:rsidRPr="00C151FE">
        <w:rPr>
          <w:rFonts w:ascii="Times New Roman" w:hAnsi="Times New Roman"/>
        </w:rPr>
        <w:t> </w:t>
      </w:r>
      <w:r w:rsidRPr="00C151FE">
        <w:rPr>
          <w:rFonts w:ascii="Times New Roman" w:hAnsi="Times New Roman"/>
        </w:rPr>
        <w:t>jiných</w:t>
      </w:r>
      <w:r w:rsidR="00412836" w:rsidRPr="00C151FE">
        <w:rPr>
          <w:rFonts w:ascii="Times New Roman" w:hAnsi="Times New Roman"/>
        </w:rPr>
        <w:t> </w:t>
      </w:r>
      <w:r w:rsidRPr="00C151FE">
        <w:rPr>
          <w:rFonts w:ascii="Times New Roman" w:hAnsi="Times New Roman"/>
        </w:rPr>
        <w:t xml:space="preserve"> odvětví, posiluje regionální rozvoj a zaměstnanost. Podporuje malé a střední podniky, drobné živnostníky či profese s vysokou přidanou hodnotou. Podpora garantuje, že k vyplacení 20% uznatelných nákladů nedojde dříve, než „investor – producent“ na území České republiky proinvestuje své vlastní finanční prostředky do českých služeb a zboží,</w:t>
      </w:r>
      <w:r w:rsidR="0063168E" w:rsidRPr="00C151FE">
        <w:rPr>
          <w:rFonts w:ascii="Times New Roman" w:hAnsi="Times New Roman"/>
        </w:rPr>
        <w:t xml:space="preserve"> </w:t>
      </w:r>
      <w:r w:rsidR="0063168E" w:rsidRPr="00C151FE">
        <w:rPr>
          <w:rFonts w:ascii="Times New Roman" w:hAnsi="Times New Roman"/>
        </w:rPr>
        <w:br/>
      </w:r>
      <w:r w:rsidRPr="00C151FE">
        <w:rPr>
          <w:rFonts w:ascii="Times New Roman" w:hAnsi="Times New Roman"/>
        </w:rPr>
        <w:t xml:space="preserve">a je proveden audit všech vynaložených nákladů. Tyto investice navíc generují příjem </w:t>
      </w:r>
      <w:r w:rsidR="0063168E" w:rsidRPr="00C151FE">
        <w:rPr>
          <w:rFonts w:ascii="Times New Roman" w:hAnsi="Times New Roman"/>
        </w:rPr>
        <w:br/>
      </w:r>
      <w:r w:rsidRPr="00C151FE">
        <w:rPr>
          <w:rFonts w:ascii="Times New Roman" w:hAnsi="Times New Roman"/>
        </w:rPr>
        <w:t>do státního rozpočtu ve formě daňových odvodů a vytvářejí další multiplikační efekty.</w:t>
      </w:r>
    </w:p>
    <w:p w14:paraId="51347970" w14:textId="77777777" w:rsidR="00004FFB" w:rsidRPr="00C151FE" w:rsidRDefault="00004FFB" w:rsidP="000F6720">
      <w:pPr>
        <w:spacing w:before="120" w:line="240" w:lineRule="auto"/>
        <w:rPr>
          <w:rFonts w:ascii="Times New Roman" w:hAnsi="Times New Roman"/>
        </w:rPr>
      </w:pPr>
      <w:r w:rsidRPr="00C151FE">
        <w:rPr>
          <w:rFonts w:ascii="Times New Roman" w:hAnsi="Times New Roman"/>
        </w:rPr>
        <w:t>S účinností zákona č. 496/2012 Sb. byl program podpory začleněn jako samostatný dotační okruh Státního fondu kinematografie a od roku 2014 se stává součástí výdajového bloku Ministerstva kultury.</w:t>
      </w:r>
    </w:p>
    <w:p w14:paraId="51347971" w14:textId="77777777" w:rsidR="007E47F9" w:rsidRPr="00BF4420" w:rsidRDefault="00C151FE" w:rsidP="00991BB7">
      <w:pPr>
        <w:spacing w:before="120" w:line="240" w:lineRule="auto"/>
        <w:rPr>
          <w:rFonts w:ascii="Times New Roman" w:hAnsi="Times New Roman"/>
          <w:szCs w:val="24"/>
        </w:rPr>
      </w:pPr>
      <w:r w:rsidRPr="00BF4420">
        <w:rPr>
          <w:rFonts w:ascii="Times New Roman" w:hAnsi="Times New Roman"/>
          <w:szCs w:val="24"/>
        </w:rPr>
        <w:t>V okruhu Dotace na činnost fondu jsou zařazeny prostředky v objemu 180 000 tis. Kč na podporu českého filmu, které byly navýšeny oproti roku 2015. Prostředky ve výši 1 800 tis. Kč jsou určeny jako dotace na samotnou činnost fondu.</w:t>
      </w:r>
    </w:p>
    <w:p w14:paraId="51347972" w14:textId="77777777" w:rsidR="003E7BCF" w:rsidRPr="00BF4420" w:rsidRDefault="003E7BCF" w:rsidP="00991BB7">
      <w:pPr>
        <w:spacing w:before="120" w:line="240" w:lineRule="auto"/>
        <w:rPr>
          <w:rFonts w:ascii="Times New Roman" w:hAnsi="Times New Roman"/>
          <w:szCs w:val="24"/>
        </w:rPr>
      </w:pPr>
    </w:p>
    <w:p w14:paraId="51347973" w14:textId="77777777" w:rsidR="003E7BCF" w:rsidRDefault="003E7BCF">
      <w:pPr>
        <w:spacing w:after="200"/>
        <w:jc w:val="left"/>
        <w:rPr>
          <w:rFonts w:ascii="Times New Roman" w:hAnsi="Times New Roman"/>
          <w:szCs w:val="24"/>
        </w:rPr>
      </w:pPr>
      <w:r>
        <w:rPr>
          <w:rFonts w:ascii="Times New Roman" w:hAnsi="Times New Roman"/>
          <w:szCs w:val="24"/>
        </w:rPr>
        <w:br w:type="page"/>
      </w:r>
    </w:p>
    <w:p w14:paraId="51347974" w14:textId="77777777" w:rsidR="0070256C" w:rsidRPr="00606F43" w:rsidRDefault="005E5D9A" w:rsidP="0070256C">
      <w:pPr>
        <w:pStyle w:val="Nadpis1"/>
        <w:rPr>
          <w:rFonts w:ascii="Times New Roman" w:hAnsi="Times New Roman" w:cs="Times New Roman"/>
          <w:color w:val="auto"/>
        </w:rPr>
      </w:pPr>
      <w:bookmarkStart w:id="16" w:name="_Toc431911990"/>
      <w:r w:rsidRPr="00606F43">
        <w:rPr>
          <w:rFonts w:ascii="Times New Roman" w:hAnsi="Times New Roman" w:cs="Times New Roman"/>
          <w:color w:val="auto"/>
        </w:rPr>
        <w:lastRenderedPageBreak/>
        <w:t>C</w:t>
      </w:r>
      <w:r w:rsidR="0070256C" w:rsidRPr="00606F43">
        <w:rPr>
          <w:rFonts w:ascii="Times New Roman" w:hAnsi="Times New Roman" w:cs="Times New Roman"/>
          <w:color w:val="auto"/>
        </w:rPr>
        <w:t>.</w:t>
      </w:r>
      <w:r w:rsidR="00E96118" w:rsidRPr="00606F43">
        <w:rPr>
          <w:rFonts w:ascii="Times New Roman" w:hAnsi="Times New Roman" w:cs="Times New Roman"/>
          <w:color w:val="auto"/>
        </w:rPr>
        <w:t xml:space="preserve"> </w:t>
      </w:r>
      <w:r w:rsidR="0070256C" w:rsidRPr="00606F43">
        <w:rPr>
          <w:rFonts w:ascii="Times New Roman" w:hAnsi="Times New Roman" w:cs="Times New Roman"/>
          <w:color w:val="auto"/>
        </w:rPr>
        <w:t>VYBRANÉ SPECIFICKÉ UKAZATELE</w:t>
      </w:r>
      <w:bookmarkEnd w:id="16"/>
    </w:p>
    <w:p w14:paraId="51347975" w14:textId="77777777" w:rsidR="00186B5C" w:rsidRPr="004B2545" w:rsidRDefault="005E5D9A" w:rsidP="001D72D6">
      <w:pPr>
        <w:pStyle w:val="Nadpis2"/>
        <w:tabs>
          <w:tab w:val="left" w:pos="708"/>
          <w:tab w:val="left" w:pos="1416"/>
          <w:tab w:val="left" w:pos="2124"/>
          <w:tab w:val="left" w:pos="2832"/>
          <w:tab w:val="left" w:pos="3540"/>
          <w:tab w:val="left" w:pos="4248"/>
          <w:tab w:val="left" w:pos="4956"/>
          <w:tab w:val="left" w:pos="5664"/>
          <w:tab w:val="left" w:pos="6372"/>
          <w:tab w:val="left" w:pos="7080"/>
          <w:tab w:val="left" w:pos="7892"/>
        </w:tabs>
        <w:spacing w:line="240" w:lineRule="auto"/>
        <w:ind w:left="709" w:hanging="709"/>
      </w:pPr>
      <w:bookmarkStart w:id="17" w:name="_Toc431911991"/>
      <w:r>
        <w:t>C</w:t>
      </w:r>
      <w:r w:rsidR="0070256C" w:rsidRPr="004B2545">
        <w:t>. I.</w:t>
      </w:r>
      <w:r w:rsidR="0070256C" w:rsidRPr="004B2545">
        <w:tab/>
        <w:t>Výdaje sledované v Evidenčním dotačním systému/ Správa majetku ve</w:t>
      </w:r>
      <w:r w:rsidR="001D72D6">
        <w:t> </w:t>
      </w:r>
      <w:r w:rsidR="0070256C" w:rsidRPr="004B2545">
        <w:t>vlastnictví státu</w:t>
      </w:r>
      <w:bookmarkEnd w:id="17"/>
    </w:p>
    <w:p w14:paraId="51347976" w14:textId="77777777" w:rsidR="00806255" w:rsidRPr="005B383F" w:rsidRDefault="00806255" w:rsidP="00806255">
      <w:pPr>
        <w:spacing w:line="240" w:lineRule="auto"/>
      </w:pPr>
    </w:p>
    <w:tbl>
      <w:tblPr>
        <w:tblW w:w="9160" w:type="dxa"/>
        <w:tblInd w:w="55" w:type="dxa"/>
        <w:tblCellMar>
          <w:left w:w="70" w:type="dxa"/>
          <w:right w:w="70" w:type="dxa"/>
        </w:tblCellMar>
        <w:tblLook w:val="04A0" w:firstRow="1" w:lastRow="0" w:firstColumn="1" w:lastColumn="0" w:noHBand="0" w:noVBand="1"/>
      </w:tblPr>
      <w:tblGrid>
        <w:gridCol w:w="1716"/>
        <w:gridCol w:w="5964"/>
        <w:gridCol w:w="1480"/>
      </w:tblGrid>
      <w:tr w:rsidR="00806255" w:rsidRPr="005B383F" w14:paraId="5134797A" w14:textId="77777777" w:rsidTr="00806255">
        <w:trPr>
          <w:trHeight w:val="264"/>
        </w:trPr>
        <w:tc>
          <w:tcPr>
            <w:tcW w:w="1716" w:type="dxa"/>
            <w:tcBorders>
              <w:top w:val="single" w:sz="12" w:space="0" w:color="auto"/>
              <w:left w:val="single" w:sz="12" w:space="0" w:color="auto"/>
              <w:bottom w:val="single" w:sz="12" w:space="0" w:color="auto"/>
              <w:right w:val="single" w:sz="8" w:space="0" w:color="auto"/>
            </w:tcBorders>
            <w:shd w:val="clear" w:color="auto" w:fill="auto"/>
            <w:hideMark/>
          </w:tcPr>
          <w:p w14:paraId="51347977" w14:textId="77777777" w:rsidR="00806255" w:rsidRPr="005B383F" w:rsidRDefault="00806255" w:rsidP="00806255">
            <w:pPr>
              <w:spacing w:line="240" w:lineRule="auto"/>
              <w:jc w:val="left"/>
              <w:rPr>
                <w:rFonts w:ascii="Calibri" w:hAnsi="Calibri"/>
                <w:b/>
                <w:bCs/>
                <w:sz w:val="18"/>
                <w:szCs w:val="18"/>
              </w:rPr>
            </w:pPr>
            <w:r w:rsidRPr="005B383F">
              <w:rPr>
                <w:rFonts w:ascii="Calibri" w:hAnsi="Calibri"/>
                <w:b/>
                <w:bCs/>
                <w:sz w:val="18"/>
                <w:szCs w:val="18"/>
              </w:rPr>
              <w:t xml:space="preserve">Evidenční číslo </w:t>
            </w:r>
          </w:p>
        </w:tc>
        <w:tc>
          <w:tcPr>
            <w:tcW w:w="5964" w:type="dxa"/>
            <w:tcBorders>
              <w:top w:val="single" w:sz="12" w:space="0" w:color="auto"/>
              <w:left w:val="nil"/>
              <w:bottom w:val="single" w:sz="12" w:space="0" w:color="auto"/>
              <w:right w:val="single" w:sz="8" w:space="0" w:color="auto"/>
            </w:tcBorders>
            <w:shd w:val="clear" w:color="auto" w:fill="auto"/>
            <w:vAlign w:val="center"/>
            <w:hideMark/>
          </w:tcPr>
          <w:p w14:paraId="51347978" w14:textId="77777777" w:rsidR="00806255" w:rsidRPr="005B383F" w:rsidRDefault="00806255" w:rsidP="00806255">
            <w:pPr>
              <w:spacing w:line="240" w:lineRule="auto"/>
              <w:jc w:val="center"/>
              <w:rPr>
                <w:rFonts w:ascii="Calibri" w:hAnsi="Calibri"/>
                <w:b/>
                <w:bCs/>
                <w:sz w:val="18"/>
                <w:szCs w:val="18"/>
              </w:rPr>
            </w:pPr>
            <w:r w:rsidRPr="005B383F">
              <w:rPr>
                <w:rFonts w:ascii="Calibri" w:hAnsi="Calibri"/>
                <w:b/>
                <w:bCs/>
                <w:sz w:val="18"/>
                <w:szCs w:val="18"/>
              </w:rPr>
              <w:t>Název programu</w:t>
            </w:r>
          </w:p>
        </w:tc>
        <w:tc>
          <w:tcPr>
            <w:tcW w:w="1480" w:type="dxa"/>
            <w:tcBorders>
              <w:top w:val="single" w:sz="12" w:space="0" w:color="auto"/>
              <w:left w:val="nil"/>
              <w:bottom w:val="single" w:sz="12" w:space="0" w:color="auto"/>
              <w:right w:val="single" w:sz="12" w:space="0" w:color="auto"/>
            </w:tcBorders>
            <w:shd w:val="clear" w:color="auto" w:fill="auto"/>
            <w:vAlign w:val="center"/>
            <w:hideMark/>
          </w:tcPr>
          <w:p w14:paraId="51347979" w14:textId="77777777" w:rsidR="00806255" w:rsidRPr="005B383F" w:rsidRDefault="00654D99" w:rsidP="00654D99">
            <w:pPr>
              <w:spacing w:line="240" w:lineRule="auto"/>
              <w:jc w:val="center"/>
              <w:rPr>
                <w:rFonts w:ascii="Calibri" w:hAnsi="Calibri"/>
                <w:b/>
                <w:bCs/>
                <w:sz w:val="18"/>
                <w:szCs w:val="18"/>
              </w:rPr>
            </w:pPr>
            <w:r>
              <w:rPr>
                <w:rFonts w:ascii="Calibri" w:hAnsi="Calibri"/>
                <w:b/>
                <w:bCs/>
                <w:sz w:val="18"/>
                <w:szCs w:val="18"/>
              </w:rPr>
              <w:t>Rozpočet</w:t>
            </w:r>
            <w:r w:rsidR="00806255" w:rsidRPr="005B383F">
              <w:rPr>
                <w:rFonts w:ascii="Calibri" w:hAnsi="Calibri"/>
                <w:b/>
                <w:bCs/>
                <w:sz w:val="18"/>
                <w:szCs w:val="18"/>
              </w:rPr>
              <w:t xml:space="preserve"> 2016</w:t>
            </w:r>
          </w:p>
        </w:tc>
      </w:tr>
      <w:tr w:rsidR="00806255" w:rsidRPr="005B383F" w14:paraId="5134797E" w14:textId="77777777" w:rsidTr="00806255">
        <w:trPr>
          <w:trHeight w:val="300"/>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7B" w14:textId="77777777" w:rsidR="00806255" w:rsidRPr="005B383F" w:rsidRDefault="00806255" w:rsidP="00806255">
            <w:pPr>
              <w:spacing w:line="240" w:lineRule="auto"/>
              <w:jc w:val="left"/>
              <w:rPr>
                <w:rFonts w:ascii="Calibri" w:hAnsi="Calibri"/>
                <w:b/>
                <w:bCs/>
                <w:sz w:val="18"/>
                <w:szCs w:val="18"/>
              </w:rPr>
            </w:pPr>
            <w:r w:rsidRPr="005B383F">
              <w:rPr>
                <w:rFonts w:ascii="Calibri" w:hAnsi="Calibri"/>
                <w:b/>
                <w:bCs/>
                <w:sz w:val="18"/>
                <w:szCs w:val="18"/>
              </w:rPr>
              <w:t>134V010</w:t>
            </w:r>
          </w:p>
        </w:tc>
        <w:tc>
          <w:tcPr>
            <w:tcW w:w="5964" w:type="dxa"/>
            <w:tcBorders>
              <w:top w:val="nil"/>
              <w:left w:val="nil"/>
              <w:bottom w:val="single" w:sz="4" w:space="0" w:color="auto"/>
              <w:right w:val="single" w:sz="8" w:space="0" w:color="auto"/>
            </w:tcBorders>
            <w:shd w:val="clear" w:color="auto" w:fill="auto"/>
            <w:vAlign w:val="bottom"/>
            <w:hideMark/>
          </w:tcPr>
          <w:p w14:paraId="5134797C" w14:textId="77777777" w:rsidR="00806255" w:rsidRPr="005B383F" w:rsidRDefault="00806255" w:rsidP="00806255">
            <w:pPr>
              <w:spacing w:line="240" w:lineRule="auto"/>
              <w:jc w:val="left"/>
              <w:rPr>
                <w:rFonts w:ascii="Calibri" w:hAnsi="Calibri"/>
                <w:b/>
                <w:bCs/>
                <w:sz w:val="16"/>
                <w:szCs w:val="16"/>
              </w:rPr>
            </w:pPr>
            <w:r w:rsidRPr="005B383F">
              <w:rPr>
                <w:rFonts w:ascii="Calibri" w:hAnsi="Calibri"/>
                <w:b/>
                <w:bCs/>
                <w:sz w:val="16"/>
                <w:szCs w:val="16"/>
              </w:rPr>
              <w:t>Rozvoj a obnova materiálně technické základny</w:t>
            </w:r>
          </w:p>
        </w:tc>
        <w:tc>
          <w:tcPr>
            <w:tcW w:w="1480" w:type="dxa"/>
            <w:tcBorders>
              <w:top w:val="nil"/>
              <w:left w:val="nil"/>
              <w:bottom w:val="single" w:sz="4" w:space="0" w:color="auto"/>
              <w:right w:val="single" w:sz="12" w:space="0" w:color="auto"/>
            </w:tcBorders>
            <w:shd w:val="clear" w:color="auto" w:fill="auto"/>
            <w:noWrap/>
            <w:vAlign w:val="bottom"/>
            <w:hideMark/>
          </w:tcPr>
          <w:p w14:paraId="5134797D" w14:textId="77777777" w:rsidR="00806255" w:rsidRPr="005B383F" w:rsidRDefault="00806255" w:rsidP="00806255">
            <w:pPr>
              <w:spacing w:line="240" w:lineRule="auto"/>
              <w:jc w:val="right"/>
              <w:rPr>
                <w:rFonts w:ascii="Calibri" w:hAnsi="Calibri"/>
                <w:b/>
                <w:bCs/>
                <w:sz w:val="18"/>
                <w:szCs w:val="18"/>
              </w:rPr>
            </w:pPr>
            <w:r w:rsidRPr="005B383F">
              <w:rPr>
                <w:rFonts w:ascii="Calibri" w:hAnsi="Calibri"/>
                <w:b/>
                <w:bCs/>
                <w:sz w:val="18"/>
                <w:szCs w:val="18"/>
              </w:rPr>
              <w:t>42 880 000</w:t>
            </w:r>
          </w:p>
        </w:tc>
      </w:tr>
      <w:tr w:rsidR="00806255" w:rsidRPr="005B383F" w14:paraId="51347982" w14:textId="77777777" w:rsidTr="00806255">
        <w:trPr>
          <w:trHeight w:val="238"/>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7F"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134V01100</w:t>
            </w:r>
          </w:p>
        </w:tc>
        <w:tc>
          <w:tcPr>
            <w:tcW w:w="5964" w:type="dxa"/>
            <w:tcBorders>
              <w:top w:val="nil"/>
              <w:left w:val="nil"/>
              <w:bottom w:val="single" w:sz="4" w:space="0" w:color="auto"/>
              <w:right w:val="single" w:sz="8" w:space="0" w:color="auto"/>
            </w:tcBorders>
            <w:shd w:val="clear" w:color="auto" w:fill="auto"/>
            <w:vAlign w:val="bottom"/>
            <w:hideMark/>
          </w:tcPr>
          <w:p w14:paraId="51347980"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Pořízení, obnova provozování ICT systému řízení MK</w:t>
            </w:r>
          </w:p>
        </w:tc>
        <w:tc>
          <w:tcPr>
            <w:tcW w:w="1480" w:type="dxa"/>
            <w:tcBorders>
              <w:top w:val="nil"/>
              <w:left w:val="nil"/>
              <w:bottom w:val="single" w:sz="4" w:space="0" w:color="auto"/>
              <w:right w:val="single" w:sz="12" w:space="0" w:color="auto"/>
            </w:tcBorders>
            <w:shd w:val="clear" w:color="auto" w:fill="auto"/>
            <w:noWrap/>
            <w:vAlign w:val="bottom"/>
            <w:hideMark/>
          </w:tcPr>
          <w:p w14:paraId="51347981"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38 000 000</w:t>
            </w:r>
          </w:p>
        </w:tc>
      </w:tr>
      <w:tr w:rsidR="00806255" w:rsidRPr="005B383F" w14:paraId="51347986" w14:textId="77777777" w:rsidTr="00806255">
        <w:trPr>
          <w:trHeight w:val="128"/>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83"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134V01200</w:t>
            </w:r>
          </w:p>
        </w:tc>
        <w:tc>
          <w:tcPr>
            <w:tcW w:w="5964" w:type="dxa"/>
            <w:tcBorders>
              <w:top w:val="nil"/>
              <w:left w:val="nil"/>
              <w:bottom w:val="single" w:sz="4" w:space="0" w:color="auto"/>
              <w:right w:val="single" w:sz="8" w:space="0" w:color="auto"/>
            </w:tcBorders>
            <w:shd w:val="clear" w:color="auto" w:fill="auto"/>
            <w:vAlign w:val="bottom"/>
            <w:hideMark/>
          </w:tcPr>
          <w:p w14:paraId="51347984"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Reprodukce majetku MK a organizací systému řízení rezortu</w:t>
            </w:r>
          </w:p>
        </w:tc>
        <w:tc>
          <w:tcPr>
            <w:tcW w:w="1480" w:type="dxa"/>
            <w:tcBorders>
              <w:top w:val="nil"/>
              <w:left w:val="nil"/>
              <w:bottom w:val="single" w:sz="4" w:space="0" w:color="auto"/>
              <w:right w:val="single" w:sz="12" w:space="0" w:color="auto"/>
            </w:tcBorders>
            <w:shd w:val="clear" w:color="auto" w:fill="auto"/>
            <w:noWrap/>
            <w:vAlign w:val="bottom"/>
            <w:hideMark/>
          </w:tcPr>
          <w:p w14:paraId="51347985"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4 880 000</w:t>
            </w:r>
          </w:p>
        </w:tc>
      </w:tr>
      <w:tr w:rsidR="00806255" w:rsidRPr="005B383F" w14:paraId="5134798A" w14:textId="77777777" w:rsidTr="00806255">
        <w:trPr>
          <w:trHeight w:val="228"/>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87" w14:textId="77777777" w:rsidR="00806255" w:rsidRPr="005B383F" w:rsidRDefault="00806255" w:rsidP="00806255">
            <w:pPr>
              <w:spacing w:line="240" w:lineRule="auto"/>
              <w:jc w:val="left"/>
              <w:rPr>
                <w:rFonts w:ascii="Calibri" w:hAnsi="Calibri"/>
                <w:b/>
                <w:bCs/>
                <w:sz w:val="18"/>
                <w:szCs w:val="18"/>
              </w:rPr>
            </w:pPr>
            <w:r w:rsidRPr="005B383F">
              <w:rPr>
                <w:rFonts w:ascii="Calibri" w:hAnsi="Calibri"/>
                <w:b/>
                <w:bCs/>
                <w:sz w:val="18"/>
                <w:szCs w:val="18"/>
              </w:rPr>
              <w:t>134V110</w:t>
            </w:r>
          </w:p>
        </w:tc>
        <w:tc>
          <w:tcPr>
            <w:tcW w:w="5964" w:type="dxa"/>
            <w:tcBorders>
              <w:top w:val="nil"/>
              <w:left w:val="nil"/>
              <w:bottom w:val="single" w:sz="4" w:space="0" w:color="auto"/>
              <w:right w:val="single" w:sz="8" w:space="0" w:color="auto"/>
            </w:tcBorders>
            <w:shd w:val="clear" w:color="auto" w:fill="auto"/>
            <w:vAlign w:val="bottom"/>
            <w:hideMark/>
          </w:tcPr>
          <w:p w14:paraId="51347988" w14:textId="77777777" w:rsidR="00806255" w:rsidRPr="005B383F" w:rsidRDefault="00806255" w:rsidP="00806255">
            <w:pPr>
              <w:spacing w:line="240" w:lineRule="auto"/>
              <w:jc w:val="left"/>
              <w:rPr>
                <w:rFonts w:ascii="Calibri" w:hAnsi="Calibri"/>
                <w:b/>
                <w:bCs/>
                <w:sz w:val="16"/>
                <w:szCs w:val="16"/>
              </w:rPr>
            </w:pPr>
            <w:r w:rsidRPr="005B383F">
              <w:rPr>
                <w:rFonts w:ascii="Calibri" w:hAnsi="Calibri"/>
                <w:b/>
                <w:bCs/>
                <w:sz w:val="16"/>
                <w:szCs w:val="16"/>
              </w:rPr>
              <w:t>Rozvoj a obnova materiálně technické základny státních kulturních zařízení</w:t>
            </w:r>
          </w:p>
        </w:tc>
        <w:tc>
          <w:tcPr>
            <w:tcW w:w="1480" w:type="dxa"/>
            <w:tcBorders>
              <w:top w:val="nil"/>
              <w:left w:val="nil"/>
              <w:bottom w:val="single" w:sz="4" w:space="0" w:color="auto"/>
              <w:right w:val="single" w:sz="12" w:space="0" w:color="auto"/>
            </w:tcBorders>
            <w:shd w:val="clear" w:color="auto" w:fill="auto"/>
            <w:noWrap/>
            <w:vAlign w:val="bottom"/>
            <w:hideMark/>
          </w:tcPr>
          <w:p w14:paraId="51347989" w14:textId="77777777" w:rsidR="00806255" w:rsidRPr="005B383F" w:rsidRDefault="00806255" w:rsidP="00806255">
            <w:pPr>
              <w:spacing w:line="240" w:lineRule="auto"/>
              <w:jc w:val="right"/>
              <w:rPr>
                <w:rFonts w:ascii="Calibri" w:hAnsi="Calibri"/>
                <w:b/>
                <w:bCs/>
                <w:sz w:val="18"/>
                <w:szCs w:val="18"/>
              </w:rPr>
            </w:pPr>
            <w:r w:rsidRPr="005B383F">
              <w:rPr>
                <w:rFonts w:ascii="Calibri" w:hAnsi="Calibri"/>
                <w:b/>
                <w:bCs/>
                <w:sz w:val="18"/>
                <w:szCs w:val="18"/>
              </w:rPr>
              <w:t>422 137 000</w:t>
            </w:r>
          </w:p>
        </w:tc>
      </w:tr>
      <w:tr w:rsidR="00806255" w:rsidRPr="005B383F" w14:paraId="5134798E" w14:textId="77777777" w:rsidTr="00806255">
        <w:trPr>
          <w:trHeight w:val="221"/>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8B"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134V11200</w:t>
            </w:r>
          </w:p>
        </w:tc>
        <w:tc>
          <w:tcPr>
            <w:tcW w:w="5964" w:type="dxa"/>
            <w:tcBorders>
              <w:top w:val="nil"/>
              <w:left w:val="nil"/>
              <w:bottom w:val="single" w:sz="4" w:space="0" w:color="auto"/>
              <w:right w:val="single" w:sz="8" w:space="0" w:color="auto"/>
            </w:tcBorders>
            <w:shd w:val="clear" w:color="auto" w:fill="auto"/>
            <w:vAlign w:val="bottom"/>
            <w:hideMark/>
          </w:tcPr>
          <w:p w14:paraId="5134798C"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Podpora reprodukce majetku státních kulturních zařízení</w:t>
            </w:r>
          </w:p>
        </w:tc>
        <w:tc>
          <w:tcPr>
            <w:tcW w:w="1480" w:type="dxa"/>
            <w:tcBorders>
              <w:top w:val="nil"/>
              <w:left w:val="nil"/>
              <w:bottom w:val="single" w:sz="4" w:space="0" w:color="auto"/>
              <w:right w:val="single" w:sz="12" w:space="0" w:color="auto"/>
            </w:tcBorders>
            <w:shd w:val="clear" w:color="auto" w:fill="auto"/>
            <w:noWrap/>
            <w:vAlign w:val="bottom"/>
            <w:hideMark/>
          </w:tcPr>
          <w:p w14:paraId="5134798D"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412 137 000</w:t>
            </w:r>
          </w:p>
        </w:tc>
      </w:tr>
      <w:tr w:rsidR="00806255" w:rsidRPr="005B383F" w14:paraId="51347992" w14:textId="77777777" w:rsidTr="00806255">
        <w:trPr>
          <w:trHeight w:val="138"/>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8F"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134V11300</w:t>
            </w:r>
          </w:p>
        </w:tc>
        <w:tc>
          <w:tcPr>
            <w:tcW w:w="5964" w:type="dxa"/>
            <w:tcBorders>
              <w:top w:val="nil"/>
              <w:left w:val="nil"/>
              <w:bottom w:val="single" w:sz="4" w:space="0" w:color="auto"/>
              <w:right w:val="single" w:sz="8" w:space="0" w:color="auto"/>
            </w:tcBorders>
            <w:shd w:val="clear" w:color="auto" w:fill="auto"/>
            <w:vAlign w:val="bottom"/>
            <w:hideMark/>
          </w:tcPr>
          <w:p w14:paraId="51347990"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Náhrada úbytku objektů kulturních zařízení</w:t>
            </w:r>
          </w:p>
        </w:tc>
        <w:tc>
          <w:tcPr>
            <w:tcW w:w="1480" w:type="dxa"/>
            <w:tcBorders>
              <w:top w:val="nil"/>
              <w:left w:val="nil"/>
              <w:bottom w:val="single" w:sz="4" w:space="0" w:color="auto"/>
              <w:right w:val="single" w:sz="12" w:space="0" w:color="auto"/>
            </w:tcBorders>
            <w:shd w:val="clear" w:color="auto" w:fill="auto"/>
            <w:noWrap/>
            <w:vAlign w:val="bottom"/>
            <w:hideMark/>
          </w:tcPr>
          <w:p w14:paraId="51347991"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0</w:t>
            </w:r>
          </w:p>
        </w:tc>
      </w:tr>
      <w:tr w:rsidR="00806255" w:rsidRPr="005B383F" w14:paraId="51347996" w14:textId="77777777" w:rsidTr="00806255">
        <w:trPr>
          <w:trHeight w:val="198"/>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93"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134V11500</w:t>
            </w:r>
          </w:p>
        </w:tc>
        <w:tc>
          <w:tcPr>
            <w:tcW w:w="5964" w:type="dxa"/>
            <w:tcBorders>
              <w:top w:val="nil"/>
              <w:left w:val="nil"/>
              <w:bottom w:val="single" w:sz="4" w:space="0" w:color="auto"/>
              <w:right w:val="single" w:sz="8" w:space="0" w:color="auto"/>
            </w:tcBorders>
            <w:shd w:val="clear" w:color="auto" w:fill="auto"/>
            <w:vAlign w:val="bottom"/>
            <w:hideMark/>
          </w:tcPr>
          <w:p w14:paraId="51347994"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Podpora realizace úsporných energetických zařízení</w:t>
            </w:r>
          </w:p>
        </w:tc>
        <w:tc>
          <w:tcPr>
            <w:tcW w:w="1480" w:type="dxa"/>
            <w:tcBorders>
              <w:top w:val="nil"/>
              <w:left w:val="nil"/>
              <w:bottom w:val="single" w:sz="4" w:space="0" w:color="auto"/>
              <w:right w:val="single" w:sz="12" w:space="0" w:color="auto"/>
            </w:tcBorders>
            <w:shd w:val="clear" w:color="auto" w:fill="auto"/>
            <w:noWrap/>
            <w:vAlign w:val="bottom"/>
            <w:hideMark/>
          </w:tcPr>
          <w:p w14:paraId="51347995"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10 000 000</w:t>
            </w:r>
          </w:p>
        </w:tc>
      </w:tr>
      <w:tr w:rsidR="00806255" w:rsidRPr="005B383F" w14:paraId="5134799A" w14:textId="77777777" w:rsidTr="00806255">
        <w:trPr>
          <w:trHeight w:val="288"/>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97" w14:textId="77777777" w:rsidR="00806255" w:rsidRPr="005B383F" w:rsidRDefault="00806255" w:rsidP="00806255">
            <w:pPr>
              <w:spacing w:line="240" w:lineRule="auto"/>
              <w:jc w:val="left"/>
              <w:rPr>
                <w:rFonts w:ascii="Calibri" w:hAnsi="Calibri"/>
                <w:b/>
                <w:bCs/>
                <w:sz w:val="18"/>
                <w:szCs w:val="18"/>
              </w:rPr>
            </w:pPr>
            <w:r w:rsidRPr="005B383F">
              <w:rPr>
                <w:rFonts w:ascii="Calibri" w:hAnsi="Calibri"/>
                <w:b/>
                <w:bCs/>
                <w:sz w:val="18"/>
                <w:szCs w:val="18"/>
              </w:rPr>
              <w:t>134V120</w:t>
            </w:r>
          </w:p>
        </w:tc>
        <w:tc>
          <w:tcPr>
            <w:tcW w:w="5964" w:type="dxa"/>
            <w:tcBorders>
              <w:top w:val="nil"/>
              <w:left w:val="nil"/>
              <w:bottom w:val="single" w:sz="4" w:space="0" w:color="auto"/>
              <w:right w:val="single" w:sz="8" w:space="0" w:color="auto"/>
            </w:tcBorders>
            <w:shd w:val="clear" w:color="auto" w:fill="auto"/>
            <w:vAlign w:val="bottom"/>
            <w:hideMark/>
          </w:tcPr>
          <w:p w14:paraId="51347998" w14:textId="77777777" w:rsidR="00806255" w:rsidRPr="005B383F" w:rsidRDefault="00806255" w:rsidP="00806255">
            <w:pPr>
              <w:spacing w:line="240" w:lineRule="auto"/>
              <w:jc w:val="left"/>
              <w:rPr>
                <w:rFonts w:ascii="Calibri" w:hAnsi="Calibri"/>
                <w:b/>
                <w:bCs/>
                <w:sz w:val="16"/>
                <w:szCs w:val="16"/>
              </w:rPr>
            </w:pPr>
            <w:r w:rsidRPr="005B383F">
              <w:rPr>
                <w:rFonts w:ascii="Calibri" w:hAnsi="Calibri"/>
                <w:b/>
                <w:bCs/>
                <w:sz w:val="16"/>
                <w:szCs w:val="16"/>
              </w:rPr>
              <w:t>Program péče o národní kulturní poklad</w:t>
            </w:r>
          </w:p>
        </w:tc>
        <w:tc>
          <w:tcPr>
            <w:tcW w:w="1480" w:type="dxa"/>
            <w:tcBorders>
              <w:top w:val="nil"/>
              <w:left w:val="nil"/>
              <w:bottom w:val="single" w:sz="4" w:space="0" w:color="auto"/>
              <w:right w:val="single" w:sz="12" w:space="0" w:color="auto"/>
            </w:tcBorders>
            <w:shd w:val="clear" w:color="auto" w:fill="auto"/>
            <w:noWrap/>
            <w:vAlign w:val="bottom"/>
            <w:hideMark/>
          </w:tcPr>
          <w:p w14:paraId="51347999" w14:textId="77777777" w:rsidR="00806255" w:rsidRPr="005B383F" w:rsidRDefault="00806255" w:rsidP="00806255">
            <w:pPr>
              <w:spacing w:line="240" w:lineRule="auto"/>
              <w:jc w:val="right"/>
              <w:rPr>
                <w:rFonts w:ascii="Calibri" w:hAnsi="Calibri"/>
                <w:b/>
                <w:bCs/>
                <w:sz w:val="18"/>
                <w:szCs w:val="18"/>
              </w:rPr>
            </w:pPr>
            <w:r w:rsidRPr="005B383F">
              <w:rPr>
                <w:rFonts w:ascii="Calibri" w:hAnsi="Calibri"/>
                <w:b/>
                <w:bCs/>
                <w:sz w:val="18"/>
                <w:szCs w:val="18"/>
              </w:rPr>
              <w:t>1 000 000 000</w:t>
            </w:r>
          </w:p>
        </w:tc>
      </w:tr>
      <w:tr w:rsidR="00806255" w:rsidRPr="005B383F" w14:paraId="5134799E" w14:textId="77777777" w:rsidTr="00806255">
        <w:trPr>
          <w:trHeight w:val="234"/>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9B"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134V12200</w:t>
            </w:r>
          </w:p>
        </w:tc>
        <w:tc>
          <w:tcPr>
            <w:tcW w:w="5964" w:type="dxa"/>
            <w:tcBorders>
              <w:top w:val="nil"/>
              <w:left w:val="nil"/>
              <w:bottom w:val="single" w:sz="4" w:space="0" w:color="auto"/>
              <w:right w:val="single" w:sz="8" w:space="0" w:color="auto"/>
            </w:tcBorders>
            <w:shd w:val="clear" w:color="auto" w:fill="auto"/>
            <w:vAlign w:val="bottom"/>
            <w:hideMark/>
          </w:tcPr>
          <w:p w14:paraId="5134799C"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Obnova a rozvoj materiální základny Národního muzea</w:t>
            </w:r>
          </w:p>
        </w:tc>
        <w:tc>
          <w:tcPr>
            <w:tcW w:w="1480" w:type="dxa"/>
            <w:tcBorders>
              <w:top w:val="nil"/>
              <w:left w:val="nil"/>
              <w:bottom w:val="single" w:sz="4" w:space="0" w:color="auto"/>
              <w:right w:val="single" w:sz="12" w:space="0" w:color="auto"/>
            </w:tcBorders>
            <w:shd w:val="clear" w:color="auto" w:fill="auto"/>
            <w:noWrap/>
            <w:vAlign w:val="bottom"/>
            <w:hideMark/>
          </w:tcPr>
          <w:p w14:paraId="5134799D"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486 931 861</w:t>
            </w:r>
          </w:p>
        </w:tc>
      </w:tr>
      <w:tr w:rsidR="00806255" w:rsidRPr="005B383F" w14:paraId="513479A2" w14:textId="77777777" w:rsidTr="00806255">
        <w:trPr>
          <w:trHeight w:val="124"/>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9F"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134V12300</w:t>
            </w:r>
          </w:p>
        </w:tc>
        <w:tc>
          <w:tcPr>
            <w:tcW w:w="5964" w:type="dxa"/>
            <w:tcBorders>
              <w:top w:val="nil"/>
              <w:left w:val="nil"/>
              <w:bottom w:val="single" w:sz="4" w:space="0" w:color="auto"/>
              <w:right w:val="single" w:sz="8" w:space="0" w:color="auto"/>
            </w:tcBorders>
            <w:shd w:val="clear" w:color="auto" w:fill="auto"/>
            <w:vAlign w:val="bottom"/>
            <w:hideMark/>
          </w:tcPr>
          <w:p w14:paraId="513479A0"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Obnova a rozvoj materiální základny Národní knihovny ČR</w:t>
            </w:r>
          </w:p>
        </w:tc>
        <w:tc>
          <w:tcPr>
            <w:tcW w:w="1480" w:type="dxa"/>
            <w:tcBorders>
              <w:top w:val="nil"/>
              <w:left w:val="nil"/>
              <w:bottom w:val="single" w:sz="4" w:space="0" w:color="auto"/>
              <w:right w:val="single" w:sz="12" w:space="0" w:color="auto"/>
            </w:tcBorders>
            <w:shd w:val="clear" w:color="auto" w:fill="auto"/>
            <w:noWrap/>
            <w:vAlign w:val="bottom"/>
            <w:hideMark/>
          </w:tcPr>
          <w:p w14:paraId="513479A1"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280 690 130</w:t>
            </w:r>
          </w:p>
        </w:tc>
      </w:tr>
      <w:tr w:rsidR="00806255" w:rsidRPr="005B383F" w14:paraId="513479A6" w14:textId="77777777" w:rsidTr="00806255">
        <w:trPr>
          <w:trHeight w:val="170"/>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A3"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134V12400</w:t>
            </w:r>
          </w:p>
        </w:tc>
        <w:tc>
          <w:tcPr>
            <w:tcW w:w="5964" w:type="dxa"/>
            <w:tcBorders>
              <w:top w:val="nil"/>
              <w:left w:val="nil"/>
              <w:bottom w:val="single" w:sz="4" w:space="0" w:color="auto"/>
              <w:right w:val="single" w:sz="8" w:space="0" w:color="auto"/>
            </w:tcBorders>
            <w:shd w:val="clear" w:color="auto" w:fill="auto"/>
            <w:vAlign w:val="bottom"/>
            <w:hideMark/>
          </w:tcPr>
          <w:p w14:paraId="513479A4"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Obnova a rozvoj materiální základny národních kulturních institucí</w:t>
            </w:r>
          </w:p>
        </w:tc>
        <w:tc>
          <w:tcPr>
            <w:tcW w:w="1480" w:type="dxa"/>
            <w:tcBorders>
              <w:top w:val="nil"/>
              <w:left w:val="nil"/>
              <w:bottom w:val="single" w:sz="4" w:space="0" w:color="auto"/>
              <w:right w:val="single" w:sz="12" w:space="0" w:color="auto"/>
            </w:tcBorders>
            <w:shd w:val="clear" w:color="auto" w:fill="auto"/>
            <w:noWrap/>
            <w:vAlign w:val="bottom"/>
            <w:hideMark/>
          </w:tcPr>
          <w:p w14:paraId="513479A5"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232 378 009</w:t>
            </w:r>
          </w:p>
        </w:tc>
      </w:tr>
      <w:tr w:rsidR="00806255" w:rsidRPr="005B383F" w14:paraId="513479AA" w14:textId="77777777" w:rsidTr="00806255">
        <w:trPr>
          <w:trHeight w:val="288"/>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A7" w14:textId="77777777" w:rsidR="00806255" w:rsidRPr="005B383F" w:rsidRDefault="00806255" w:rsidP="00806255">
            <w:pPr>
              <w:spacing w:line="240" w:lineRule="auto"/>
              <w:jc w:val="left"/>
              <w:rPr>
                <w:rFonts w:ascii="Calibri" w:hAnsi="Calibri"/>
                <w:b/>
                <w:bCs/>
                <w:sz w:val="18"/>
                <w:szCs w:val="18"/>
              </w:rPr>
            </w:pPr>
            <w:r w:rsidRPr="005B383F">
              <w:rPr>
                <w:rFonts w:ascii="Calibri" w:hAnsi="Calibri"/>
                <w:b/>
                <w:bCs/>
                <w:sz w:val="18"/>
                <w:szCs w:val="18"/>
              </w:rPr>
              <w:t>134D210, 134D410</w:t>
            </w:r>
          </w:p>
        </w:tc>
        <w:tc>
          <w:tcPr>
            <w:tcW w:w="5964" w:type="dxa"/>
            <w:tcBorders>
              <w:top w:val="nil"/>
              <w:left w:val="nil"/>
              <w:bottom w:val="single" w:sz="4" w:space="0" w:color="auto"/>
              <w:right w:val="single" w:sz="8" w:space="0" w:color="auto"/>
            </w:tcBorders>
            <w:shd w:val="clear" w:color="auto" w:fill="auto"/>
            <w:vAlign w:val="bottom"/>
            <w:hideMark/>
          </w:tcPr>
          <w:p w14:paraId="513479A8" w14:textId="77777777" w:rsidR="00806255" w:rsidRPr="005B383F" w:rsidRDefault="00806255" w:rsidP="00806255">
            <w:pPr>
              <w:spacing w:line="240" w:lineRule="auto"/>
              <w:jc w:val="left"/>
              <w:rPr>
                <w:rFonts w:ascii="Calibri" w:hAnsi="Calibri"/>
                <w:b/>
                <w:bCs/>
                <w:sz w:val="16"/>
                <w:szCs w:val="16"/>
              </w:rPr>
            </w:pPr>
            <w:r w:rsidRPr="005B383F">
              <w:rPr>
                <w:rFonts w:ascii="Calibri" w:hAnsi="Calibri"/>
                <w:b/>
                <w:bCs/>
                <w:sz w:val="16"/>
                <w:szCs w:val="16"/>
              </w:rPr>
              <w:t>Rozvoj a obnova materiálně technické základny regionálních kulturních zařízení</w:t>
            </w:r>
          </w:p>
        </w:tc>
        <w:tc>
          <w:tcPr>
            <w:tcW w:w="1480" w:type="dxa"/>
            <w:tcBorders>
              <w:top w:val="nil"/>
              <w:left w:val="nil"/>
              <w:bottom w:val="single" w:sz="4" w:space="0" w:color="auto"/>
              <w:right w:val="single" w:sz="12" w:space="0" w:color="auto"/>
            </w:tcBorders>
            <w:shd w:val="clear" w:color="auto" w:fill="auto"/>
            <w:noWrap/>
            <w:vAlign w:val="bottom"/>
            <w:hideMark/>
          </w:tcPr>
          <w:p w14:paraId="513479A9" w14:textId="77777777" w:rsidR="00806255" w:rsidRPr="005B383F" w:rsidRDefault="00806255" w:rsidP="00806255">
            <w:pPr>
              <w:spacing w:line="240" w:lineRule="auto"/>
              <w:jc w:val="right"/>
              <w:rPr>
                <w:rFonts w:ascii="Calibri" w:hAnsi="Calibri"/>
                <w:b/>
                <w:bCs/>
                <w:sz w:val="18"/>
                <w:szCs w:val="18"/>
              </w:rPr>
            </w:pPr>
            <w:r w:rsidRPr="005B383F">
              <w:rPr>
                <w:rFonts w:ascii="Calibri" w:hAnsi="Calibri"/>
                <w:b/>
                <w:bCs/>
                <w:sz w:val="18"/>
                <w:szCs w:val="18"/>
              </w:rPr>
              <w:t>75 000 000</w:t>
            </w:r>
          </w:p>
        </w:tc>
      </w:tr>
      <w:tr w:rsidR="00806255" w:rsidRPr="005B383F" w14:paraId="513479AE" w14:textId="77777777" w:rsidTr="00806255">
        <w:trPr>
          <w:trHeight w:val="220"/>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AB"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134D21200</w:t>
            </w:r>
          </w:p>
        </w:tc>
        <w:tc>
          <w:tcPr>
            <w:tcW w:w="5964" w:type="dxa"/>
            <w:tcBorders>
              <w:top w:val="nil"/>
              <w:left w:val="nil"/>
              <w:bottom w:val="single" w:sz="4" w:space="0" w:color="auto"/>
              <w:right w:val="single" w:sz="8" w:space="0" w:color="auto"/>
            </w:tcBorders>
            <w:shd w:val="clear" w:color="auto" w:fill="auto"/>
            <w:vAlign w:val="bottom"/>
            <w:hideMark/>
          </w:tcPr>
          <w:p w14:paraId="513479AC"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Podpora reprodukce majetku regionálních kulturních zařízení</w:t>
            </w:r>
          </w:p>
        </w:tc>
        <w:tc>
          <w:tcPr>
            <w:tcW w:w="1480" w:type="dxa"/>
            <w:tcBorders>
              <w:top w:val="nil"/>
              <w:left w:val="nil"/>
              <w:bottom w:val="single" w:sz="4" w:space="0" w:color="auto"/>
              <w:right w:val="single" w:sz="12" w:space="0" w:color="auto"/>
            </w:tcBorders>
            <w:shd w:val="clear" w:color="auto" w:fill="auto"/>
            <w:noWrap/>
            <w:vAlign w:val="bottom"/>
            <w:hideMark/>
          </w:tcPr>
          <w:p w14:paraId="513479AD"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68 000 000</w:t>
            </w:r>
          </w:p>
        </w:tc>
      </w:tr>
      <w:tr w:rsidR="00806255" w:rsidRPr="005B383F" w14:paraId="513479B2" w14:textId="77777777" w:rsidTr="00806255">
        <w:trPr>
          <w:trHeight w:val="125"/>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AF"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134D21500</w:t>
            </w:r>
          </w:p>
        </w:tc>
        <w:tc>
          <w:tcPr>
            <w:tcW w:w="5964" w:type="dxa"/>
            <w:tcBorders>
              <w:top w:val="nil"/>
              <w:left w:val="nil"/>
              <w:bottom w:val="single" w:sz="4" w:space="0" w:color="auto"/>
              <w:right w:val="single" w:sz="8" w:space="0" w:color="auto"/>
            </w:tcBorders>
            <w:shd w:val="clear" w:color="auto" w:fill="auto"/>
            <w:vAlign w:val="bottom"/>
            <w:hideMark/>
          </w:tcPr>
          <w:p w14:paraId="513479B0"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Program mobility pro všechny</w:t>
            </w:r>
          </w:p>
        </w:tc>
        <w:tc>
          <w:tcPr>
            <w:tcW w:w="1480" w:type="dxa"/>
            <w:tcBorders>
              <w:top w:val="nil"/>
              <w:left w:val="nil"/>
              <w:bottom w:val="single" w:sz="4" w:space="0" w:color="auto"/>
              <w:right w:val="single" w:sz="12" w:space="0" w:color="auto"/>
            </w:tcBorders>
            <w:shd w:val="clear" w:color="auto" w:fill="auto"/>
            <w:noWrap/>
            <w:vAlign w:val="bottom"/>
            <w:hideMark/>
          </w:tcPr>
          <w:p w14:paraId="513479B1"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5 000 000</w:t>
            </w:r>
          </w:p>
        </w:tc>
      </w:tr>
      <w:tr w:rsidR="00806255" w:rsidRPr="005B383F" w14:paraId="513479B6" w14:textId="77777777" w:rsidTr="00806255">
        <w:trPr>
          <w:trHeight w:val="184"/>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B3"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134D41200</w:t>
            </w:r>
          </w:p>
        </w:tc>
        <w:tc>
          <w:tcPr>
            <w:tcW w:w="5964" w:type="dxa"/>
            <w:tcBorders>
              <w:top w:val="nil"/>
              <w:left w:val="nil"/>
              <w:bottom w:val="single" w:sz="4" w:space="0" w:color="auto"/>
              <w:right w:val="single" w:sz="8" w:space="0" w:color="auto"/>
            </w:tcBorders>
            <w:shd w:val="clear" w:color="auto" w:fill="auto"/>
            <w:vAlign w:val="bottom"/>
            <w:hideMark/>
          </w:tcPr>
          <w:p w14:paraId="513479B4"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Podpora reprodukce majetku církví a náboženských společností</w:t>
            </w:r>
          </w:p>
        </w:tc>
        <w:tc>
          <w:tcPr>
            <w:tcW w:w="1480" w:type="dxa"/>
            <w:tcBorders>
              <w:top w:val="nil"/>
              <w:left w:val="nil"/>
              <w:bottom w:val="single" w:sz="4" w:space="0" w:color="auto"/>
              <w:right w:val="single" w:sz="12" w:space="0" w:color="auto"/>
            </w:tcBorders>
            <w:shd w:val="clear" w:color="auto" w:fill="auto"/>
            <w:noWrap/>
            <w:vAlign w:val="bottom"/>
            <w:hideMark/>
          </w:tcPr>
          <w:p w14:paraId="513479B5"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0</w:t>
            </w:r>
          </w:p>
        </w:tc>
      </w:tr>
      <w:tr w:rsidR="00806255" w:rsidRPr="005B383F" w14:paraId="513479BA" w14:textId="77777777" w:rsidTr="00806255">
        <w:trPr>
          <w:trHeight w:val="244"/>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B7"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134D41500</w:t>
            </w:r>
          </w:p>
        </w:tc>
        <w:tc>
          <w:tcPr>
            <w:tcW w:w="5964" w:type="dxa"/>
            <w:tcBorders>
              <w:top w:val="nil"/>
              <w:left w:val="nil"/>
              <w:bottom w:val="single" w:sz="4" w:space="0" w:color="auto"/>
              <w:right w:val="single" w:sz="8" w:space="0" w:color="auto"/>
            </w:tcBorders>
            <w:shd w:val="clear" w:color="auto" w:fill="auto"/>
            <w:vAlign w:val="bottom"/>
            <w:hideMark/>
          </w:tcPr>
          <w:p w14:paraId="513479B8"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Program mobility pro církve a náboženské společnosti</w:t>
            </w:r>
          </w:p>
        </w:tc>
        <w:tc>
          <w:tcPr>
            <w:tcW w:w="1480" w:type="dxa"/>
            <w:tcBorders>
              <w:top w:val="nil"/>
              <w:left w:val="nil"/>
              <w:bottom w:val="single" w:sz="4" w:space="0" w:color="auto"/>
              <w:right w:val="single" w:sz="12" w:space="0" w:color="auto"/>
            </w:tcBorders>
            <w:shd w:val="clear" w:color="auto" w:fill="auto"/>
            <w:noWrap/>
            <w:vAlign w:val="bottom"/>
            <w:hideMark/>
          </w:tcPr>
          <w:p w14:paraId="513479B9"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2 000 000</w:t>
            </w:r>
          </w:p>
        </w:tc>
      </w:tr>
      <w:tr w:rsidR="00806255" w:rsidRPr="005B383F" w14:paraId="513479BE" w14:textId="77777777" w:rsidTr="00806255">
        <w:trPr>
          <w:trHeight w:val="116"/>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BB" w14:textId="77777777" w:rsidR="00806255" w:rsidRPr="005B383F" w:rsidRDefault="00806255" w:rsidP="00806255">
            <w:pPr>
              <w:spacing w:line="240" w:lineRule="auto"/>
              <w:jc w:val="left"/>
              <w:rPr>
                <w:rFonts w:ascii="Calibri" w:hAnsi="Calibri"/>
                <w:b/>
                <w:bCs/>
                <w:sz w:val="18"/>
                <w:szCs w:val="18"/>
              </w:rPr>
            </w:pPr>
            <w:r w:rsidRPr="005B383F">
              <w:rPr>
                <w:rFonts w:ascii="Calibri" w:hAnsi="Calibri"/>
                <w:b/>
                <w:bCs/>
                <w:sz w:val="18"/>
                <w:szCs w:val="18"/>
              </w:rPr>
              <w:t>134V510, 134D510</w:t>
            </w:r>
          </w:p>
        </w:tc>
        <w:tc>
          <w:tcPr>
            <w:tcW w:w="5964" w:type="dxa"/>
            <w:tcBorders>
              <w:top w:val="nil"/>
              <w:left w:val="nil"/>
              <w:bottom w:val="single" w:sz="4" w:space="0" w:color="auto"/>
              <w:right w:val="single" w:sz="8" w:space="0" w:color="auto"/>
            </w:tcBorders>
            <w:shd w:val="clear" w:color="auto" w:fill="auto"/>
            <w:vAlign w:val="bottom"/>
            <w:hideMark/>
          </w:tcPr>
          <w:p w14:paraId="513479BC" w14:textId="77777777" w:rsidR="00806255" w:rsidRPr="005B383F" w:rsidRDefault="00806255" w:rsidP="00806255">
            <w:pPr>
              <w:spacing w:line="240" w:lineRule="auto"/>
              <w:jc w:val="left"/>
              <w:rPr>
                <w:rFonts w:ascii="Calibri" w:hAnsi="Calibri"/>
                <w:b/>
                <w:bCs/>
                <w:sz w:val="16"/>
                <w:szCs w:val="16"/>
              </w:rPr>
            </w:pPr>
            <w:r w:rsidRPr="005B383F">
              <w:rPr>
                <w:rFonts w:ascii="Calibri" w:hAnsi="Calibri"/>
                <w:b/>
                <w:bCs/>
                <w:sz w:val="16"/>
                <w:szCs w:val="16"/>
              </w:rPr>
              <w:t>Integrovaný systém ochrany movitého kulturního dědictví (ISO)</w:t>
            </w:r>
          </w:p>
        </w:tc>
        <w:tc>
          <w:tcPr>
            <w:tcW w:w="1480" w:type="dxa"/>
            <w:tcBorders>
              <w:top w:val="nil"/>
              <w:left w:val="nil"/>
              <w:bottom w:val="single" w:sz="4" w:space="0" w:color="auto"/>
              <w:right w:val="single" w:sz="12" w:space="0" w:color="auto"/>
            </w:tcBorders>
            <w:shd w:val="clear" w:color="auto" w:fill="auto"/>
            <w:noWrap/>
            <w:vAlign w:val="bottom"/>
            <w:hideMark/>
          </w:tcPr>
          <w:p w14:paraId="513479BD" w14:textId="77777777" w:rsidR="00806255" w:rsidRPr="005B383F" w:rsidRDefault="00806255" w:rsidP="00806255">
            <w:pPr>
              <w:spacing w:line="240" w:lineRule="auto"/>
              <w:jc w:val="right"/>
              <w:rPr>
                <w:rFonts w:ascii="Calibri" w:hAnsi="Calibri"/>
                <w:b/>
                <w:bCs/>
                <w:sz w:val="18"/>
                <w:szCs w:val="18"/>
              </w:rPr>
            </w:pPr>
            <w:r w:rsidRPr="005B383F">
              <w:rPr>
                <w:rFonts w:ascii="Calibri" w:hAnsi="Calibri"/>
                <w:b/>
                <w:bCs/>
                <w:sz w:val="18"/>
                <w:szCs w:val="18"/>
              </w:rPr>
              <w:t>42 000 000</w:t>
            </w:r>
          </w:p>
        </w:tc>
      </w:tr>
      <w:tr w:rsidR="00806255" w:rsidRPr="005B383F" w14:paraId="513479C2" w14:textId="77777777" w:rsidTr="00806255">
        <w:trPr>
          <w:trHeight w:val="432"/>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BF"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134V51200</w:t>
            </w:r>
          </w:p>
        </w:tc>
        <w:tc>
          <w:tcPr>
            <w:tcW w:w="5964" w:type="dxa"/>
            <w:tcBorders>
              <w:top w:val="nil"/>
              <w:left w:val="nil"/>
              <w:bottom w:val="single" w:sz="4" w:space="0" w:color="auto"/>
              <w:right w:val="single" w:sz="8" w:space="0" w:color="auto"/>
            </w:tcBorders>
            <w:shd w:val="clear" w:color="auto" w:fill="auto"/>
            <w:vAlign w:val="bottom"/>
            <w:hideMark/>
          </w:tcPr>
          <w:p w14:paraId="513479C0"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ISO/A - Zabezpečení objektů, v nichž jsou uloženy předměty movitého kulturního dědictví bezpečnostními systémy a mechanickými zábranami</w:t>
            </w:r>
          </w:p>
        </w:tc>
        <w:tc>
          <w:tcPr>
            <w:tcW w:w="1480" w:type="dxa"/>
            <w:tcBorders>
              <w:top w:val="nil"/>
              <w:left w:val="nil"/>
              <w:bottom w:val="single" w:sz="4" w:space="0" w:color="auto"/>
              <w:right w:val="single" w:sz="12" w:space="0" w:color="auto"/>
            </w:tcBorders>
            <w:shd w:val="clear" w:color="auto" w:fill="auto"/>
            <w:noWrap/>
            <w:vAlign w:val="bottom"/>
            <w:hideMark/>
          </w:tcPr>
          <w:p w14:paraId="513479C1"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5 400 000</w:t>
            </w:r>
          </w:p>
        </w:tc>
      </w:tr>
      <w:tr w:rsidR="00806255" w:rsidRPr="005B383F" w14:paraId="513479C6" w14:textId="77777777" w:rsidTr="00806255">
        <w:trPr>
          <w:trHeight w:val="240"/>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C3"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134V51300</w:t>
            </w:r>
          </w:p>
        </w:tc>
        <w:tc>
          <w:tcPr>
            <w:tcW w:w="5964" w:type="dxa"/>
            <w:tcBorders>
              <w:top w:val="nil"/>
              <w:left w:val="nil"/>
              <w:bottom w:val="single" w:sz="4" w:space="0" w:color="auto"/>
              <w:right w:val="single" w:sz="8" w:space="0" w:color="auto"/>
            </w:tcBorders>
            <w:shd w:val="clear" w:color="auto" w:fill="auto"/>
            <w:vAlign w:val="bottom"/>
            <w:hideMark/>
          </w:tcPr>
          <w:p w14:paraId="513479C4"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ISO/B - Evidence a dokumentace movitého kulturního dědictví</w:t>
            </w:r>
          </w:p>
        </w:tc>
        <w:tc>
          <w:tcPr>
            <w:tcW w:w="1480" w:type="dxa"/>
            <w:tcBorders>
              <w:top w:val="nil"/>
              <w:left w:val="nil"/>
              <w:bottom w:val="single" w:sz="4" w:space="0" w:color="auto"/>
              <w:right w:val="single" w:sz="12" w:space="0" w:color="auto"/>
            </w:tcBorders>
            <w:shd w:val="clear" w:color="auto" w:fill="auto"/>
            <w:noWrap/>
            <w:vAlign w:val="bottom"/>
            <w:hideMark/>
          </w:tcPr>
          <w:p w14:paraId="513479C5"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1 000 000</w:t>
            </w:r>
          </w:p>
        </w:tc>
      </w:tr>
      <w:tr w:rsidR="00806255" w:rsidRPr="005B383F" w14:paraId="513479CA" w14:textId="77777777" w:rsidTr="00806255">
        <w:trPr>
          <w:trHeight w:val="216"/>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C7"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134V51400</w:t>
            </w:r>
          </w:p>
        </w:tc>
        <w:tc>
          <w:tcPr>
            <w:tcW w:w="5964" w:type="dxa"/>
            <w:tcBorders>
              <w:top w:val="nil"/>
              <w:left w:val="nil"/>
              <w:bottom w:val="single" w:sz="4" w:space="0" w:color="auto"/>
              <w:right w:val="single" w:sz="8" w:space="0" w:color="auto"/>
            </w:tcBorders>
            <w:shd w:val="clear" w:color="auto" w:fill="auto"/>
            <w:vAlign w:val="bottom"/>
            <w:hideMark/>
          </w:tcPr>
          <w:p w14:paraId="513479C8"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ISO/C - Výkupy předmětů kulturní hodnoty mimořádného významu</w:t>
            </w:r>
          </w:p>
        </w:tc>
        <w:tc>
          <w:tcPr>
            <w:tcW w:w="1480" w:type="dxa"/>
            <w:tcBorders>
              <w:top w:val="nil"/>
              <w:left w:val="nil"/>
              <w:bottom w:val="single" w:sz="4" w:space="0" w:color="auto"/>
              <w:right w:val="single" w:sz="12" w:space="0" w:color="auto"/>
            </w:tcBorders>
            <w:shd w:val="clear" w:color="auto" w:fill="auto"/>
            <w:noWrap/>
            <w:vAlign w:val="bottom"/>
            <w:hideMark/>
          </w:tcPr>
          <w:p w14:paraId="513479C9"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9 000 000</w:t>
            </w:r>
          </w:p>
        </w:tc>
      </w:tr>
      <w:tr w:rsidR="00806255" w:rsidRPr="005B383F" w14:paraId="513479CE" w14:textId="77777777" w:rsidTr="00806255">
        <w:trPr>
          <w:trHeight w:val="206"/>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CB"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134V51500</w:t>
            </w:r>
          </w:p>
        </w:tc>
        <w:tc>
          <w:tcPr>
            <w:tcW w:w="5964" w:type="dxa"/>
            <w:tcBorders>
              <w:top w:val="nil"/>
              <w:left w:val="nil"/>
              <w:bottom w:val="single" w:sz="4" w:space="0" w:color="auto"/>
              <w:right w:val="single" w:sz="8" w:space="0" w:color="auto"/>
            </w:tcBorders>
            <w:shd w:val="clear" w:color="auto" w:fill="auto"/>
            <w:vAlign w:val="bottom"/>
            <w:hideMark/>
          </w:tcPr>
          <w:p w14:paraId="513479CC"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ISO/D - Preventivní ochrana před nepříznivými vlivy prostředí</w:t>
            </w:r>
          </w:p>
        </w:tc>
        <w:tc>
          <w:tcPr>
            <w:tcW w:w="1480" w:type="dxa"/>
            <w:tcBorders>
              <w:top w:val="nil"/>
              <w:left w:val="nil"/>
              <w:bottom w:val="single" w:sz="4" w:space="0" w:color="auto"/>
              <w:right w:val="single" w:sz="12" w:space="0" w:color="auto"/>
            </w:tcBorders>
            <w:shd w:val="clear" w:color="auto" w:fill="auto"/>
            <w:noWrap/>
            <w:vAlign w:val="bottom"/>
            <w:hideMark/>
          </w:tcPr>
          <w:p w14:paraId="513479CD"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6 000 000</w:t>
            </w:r>
          </w:p>
        </w:tc>
      </w:tr>
      <w:tr w:rsidR="00806255" w:rsidRPr="005B383F" w14:paraId="513479D2" w14:textId="77777777" w:rsidTr="00806255">
        <w:trPr>
          <w:trHeight w:val="182"/>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CF"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134V51700</w:t>
            </w:r>
          </w:p>
        </w:tc>
        <w:tc>
          <w:tcPr>
            <w:tcW w:w="5964" w:type="dxa"/>
            <w:tcBorders>
              <w:top w:val="nil"/>
              <w:left w:val="nil"/>
              <w:bottom w:val="single" w:sz="4" w:space="0" w:color="auto"/>
              <w:right w:val="single" w:sz="8" w:space="0" w:color="auto"/>
            </w:tcBorders>
            <w:shd w:val="clear" w:color="auto" w:fill="auto"/>
            <w:vAlign w:val="bottom"/>
            <w:hideMark/>
          </w:tcPr>
          <w:p w14:paraId="513479D0"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 xml:space="preserve">ISO/E - Uplatnění předkupního práva státu </w:t>
            </w:r>
          </w:p>
        </w:tc>
        <w:tc>
          <w:tcPr>
            <w:tcW w:w="1480" w:type="dxa"/>
            <w:tcBorders>
              <w:top w:val="nil"/>
              <w:left w:val="nil"/>
              <w:bottom w:val="single" w:sz="4" w:space="0" w:color="auto"/>
              <w:right w:val="single" w:sz="12" w:space="0" w:color="auto"/>
            </w:tcBorders>
            <w:shd w:val="clear" w:color="auto" w:fill="auto"/>
            <w:noWrap/>
            <w:vAlign w:val="bottom"/>
            <w:hideMark/>
          </w:tcPr>
          <w:p w14:paraId="513479D1"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2 100 000</w:t>
            </w:r>
          </w:p>
        </w:tc>
      </w:tr>
      <w:tr w:rsidR="00806255" w:rsidRPr="005B383F" w14:paraId="513479D6" w14:textId="77777777" w:rsidTr="00806255">
        <w:trPr>
          <w:trHeight w:val="313"/>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D3"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134D51200</w:t>
            </w:r>
          </w:p>
        </w:tc>
        <w:tc>
          <w:tcPr>
            <w:tcW w:w="5964" w:type="dxa"/>
            <w:tcBorders>
              <w:top w:val="nil"/>
              <w:left w:val="nil"/>
              <w:bottom w:val="single" w:sz="4" w:space="0" w:color="auto"/>
              <w:right w:val="single" w:sz="8" w:space="0" w:color="auto"/>
            </w:tcBorders>
            <w:shd w:val="clear" w:color="auto" w:fill="auto"/>
            <w:vAlign w:val="bottom"/>
            <w:hideMark/>
          </w:tcPr>
          <w:p w14:paraId="513479D4"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ISO/A - Zabezpečení objektů, v nichž jsou uloženy předměty movitého kulturního dědictví bezpečnostními systémy a mechanickými zábranami</w:t>
            </w:r>
          </w:p>
        </w:tc>
        <w:tc>
          <w:tcPr>
            <w:tcW w:w="1480" w:type="dxa"/>
            <w:tcBorders>
              <w:top w:val="nil"/>
              <w:left w:val="nil"/>
              <w:bottom w:val="single" w:sz="4" w:space="0" w:color="auto"/>
              <w:right w:val="single" w:sz="12" w:space="0" w:color="auto"/>
            </w:tcBorders>
            <w:shd w:val="clear" w:color="auto" w:fill="auto"/>
            <w:noWrap/>
            <w:vAlign w:val="bottom"/>
            <w:hideMark/>
          </w:tcPr>
          <w:p w14:paraId="513479D5"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5 500 000</w:t>
            </w:r>
          </w:p>
        </w:tc>
      </w:tr>
      <w:tr w:rsidR="00806255" w:rsidRPr="005B383F" w14:paraId="513479DA" w14:textId="77777777" w:rsidTr="00806255">
        <w:trPr>
          <w:trHeight w:val="150"/>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D7"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134D51300</w:t>
            </w:r>
          </w:p>
        </w:tc>
        <w:tc>
          <w:tcPr>
            <w:tcW w:w="5964" w:type="dxa"/>
            <w:tcBorders>
              <w:top w:val="nil"/>
              <w:left w:val="nil"/>
              <w:bottom w:val="single" w:sz="4" w:space="0" w:color="auto"/>
              <w:right w:val="single" w:sz="8" w:space="0" w:color="auto"/>
            </w:tcBorders>
            <w:shd w:val="clear" w:color="auto" w:fill="auto"/>
            <w:vAlign w:val="bottom"/>
            <w:hideMark/>
          </w:tcPr>
          <w:p w14:paraId="513479D8"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ISO/B - Evidence a dokumentace movitého kulturního dědictví</w:t>
            </w:r>
          </w:p>
        </w:tc>
        <w:tc>
          <w:tcPr>
            <w:tcW w:w="1480" w:type="dxa"/>
            <w:tcBorders>
              <w:top w:val="nil"/>
              <w:left w:val="nil"/>
              <w:bottom w:val="single" w:sz="4" w:space="0" w:color="auto"/>
              <w:right w:val="single" w:sz="12" w:space="0" w:color="auto"/>
            </w:tcBorders>
            <w:shd w:val="clear" w:color="auto" w:fill="auto"/>
            <w:noWrap/>
            <w:vAlign w:val="bottom"/>
            <w:hideMark/>
          </w:tcPr>
          <w:p w14:paraId="513479D9"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0</w:t>
            </w:r>
          </w:p>
        </w:tc>
      </w:tr>
      <w:tr w:rsidR="00806255" w:rsidRPr="005B383F" w14:paraId="513479DE" w14:textId="77777777" w:rsidTr="00806255">
        <w:trPr>
          <w:trHeight w:val="140"/>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DB"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134D51400</w:t>
            </w:r>
          </w:p>
        </w:tc>
        <w:tc>
          <w:tcPr>
            <w:tcW w:w="5964" w:type="dxa"/>
            <w:tcBorders>
              <w:top w:val="nil"/>
              <w:left w:val="nil"/>
              <w:bottom w:val="single" w:sz="4" w:space="0" w:color="auto"/>
              <w:right w:val="single" w:sz="8" w:space="0" w:color="auto"/>
            </w:tcBorders>
            <w:shd w:val="clear" w:color="auto" w:fill="auto"/>
            <w:vAlign w:val="bottom"/>
            <w:hideMark/>
          </w:tcPr>
          <w:p w14:paraId="513479DC"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ISO/C - Výkupy předmětů kulturní hodnoty mimořádného významu</w:t>
            </w:r>
          </w:p>
        </w:tc>
        <w:tc>
          <w:tcPr>
            <w:tcW w:w="1480" w:type="dxa"/>
            <w:tcBorders>
              <w:top w:val="nil"/>
              <w:left w:val="nil"/>
              <w:bottom w:val="single" w:sz="4" w:space="0" w:color="auto"/>
              <w:right w:val="single" w:sz="12" w:space="0" w:color="auto"/>
            </w:tcBorders>
            <w:shd w:val="clear" w:color="auto" w:fill="auto"/>
            <w:noWrap/>
            <w:vAlign w:val="bottom"/>
            <w:hideMark/>
          </w:tcPr>
          <w:p w14:paraId="513479DD"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4 000 000</w:t>
            </w:r>
          </w:p>
        </w:tc>
      </w:tr>
      <w:tr w:rsidR="00806255" w:rsidRPr="005B383F" w14:paraId="513479E2" w14:textId="77777777" w:rsidTr="00806255">
        <w:trPr>
          <w:trHeight w:val="144"/>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DF"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134D51500</w:t>
            </w:r>
          </w:p>
        </w:tc>
        <w:tc>
          <w:tcPr>
            <w:tcW w:w="5964" w:type="dxa"/>
            <w:tcBorders>
              <w:top w:val="nil"/>
              <w:left w:val="nil"/>
              <w:bottom w:val="single" w:sz="4" w:space="0" w:color="auto"/>
              <w:right w:val="single" w:sz="8" w:space="0" w:color="auto"/>
            </w:tcBorders>
            <w:shd w:val="clear" w:color="auto" w:fill="auto"/>
            <w:vAlign w:val="bottom"/>
            <w:hideMark/>
          </w:tcPr>
          <w:p w14:paraId="513479E0"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ISO/D - Preventivní ochrana před nepříznivými vlivy prostředí</w:t>
            </w:r>
          </w:p>
        </w:tc>
        <w:tc>
          <w:tcPr>
            <w:tcW w:w="1480" w:type="dxa"/>
            <w:tcBorders>
              <w:top w:val="nil"/>
              <w:left w:val="nil"/>
              <w:bottom w:val="single" w:sz="4" w:space="0" w:color="auto"/>
              <w:right w:val="single" w:sz="12" w:space="0" w:color="auto"/>
            </w:tcBorders>
            <w:shd w:val="clear" w:color="auto" w:fill="auto"/>
            <w:noWrap/>
            <w:vAlign w:val="bottom"/>
            <w:hideMark/>
          </w:tcPr>
          <w:p w14:paraId="513479E1"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9 000 000</w:t>
            </w:r>
          </w:p>
        </w:tc>
      </w:tr>
      <w:tr w:rsidR="00806255" w:rsidRPr="005B383F" w14:paraId="513479E6" w14:textId="77777777" w:rsidTr="00806255">
        <w:trPr>
          <w:trHeight w:val="288"/>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E3" w14:textId="77777777" w:rsidR="00806255" w:rsidRPr="005B383F" w:rsidRDefault="00806255" w:rsidP="00806255">
            <w:pPr>
              <w:spacing w:line="240" w:lineRule="auto"/>
              <w:jc w:val="left"/>
              <w:rPr>
                <w:rFonts w:ascii="Calibri" w:hAnsi="Calibri"/>
                <w:b/>
                <w:bCs/>
                <w:sz w:val="18"/>
                <w:szCs w:val="18"/>
              </w:rPr>
            </w:pPr>
            <w:r w:rsidRPr="005B383F">
              <w:rPr>
                <w:rFonts w:ascii="Calibri" w:hAnsi="Calibri"/>
                <w:b/>
                <w:bCs/>
                <w:sz w:val="18"/>
                <w:szCs w:val="18"/>
              </w:rPr>
              <w:t>134V610, 134D610</w:t>
            </w:r>
          </w:p>
        </w:tc>
        <w:tc>
          <w:tcPr>
            <w:tcW w:w="5964" w:type="dxa"/>
            <w:tcBorders>
              <w:top w:val="nil"/>
              <w:left w:val="nil"/>
              <w:bottom w:val="single" w:sz="4" w:space="0" w:color="auto"/>
              <w:right w:val="single" w:sz="8" w:space="0" w:color="auto"/>
            </w:tcBorders>
            <w:shd w:val="clear" w:color="auto" w:fill="auto"/>
            <w:vAlign w:val="bottom"/>
            <w:hideMark/>
          </w:tcPr>
          <w:p w14:paraId="513479E4" w14:textId="77777777" w:rsidR="00806255" w:rsidRPr="005B383F" w:rsidRDefault="00806255" w:rsidP="00806255">
            <w:pPr>
              <w:spacing w:line="240" w:lineRule="auto"/>
              <w:jc w:val="left"/>
              <w:rPr>
                <w:rFonts w:ascii="Calibri" w:hAnsi="Calibri"/>
                <w:b/>
                <w:bCs/>
                <w:sz w:val="16"/>
                <w:szCs w:val="16"/>
              </w:rPr>
            </w:pPr>
            <w:r w:rsidRPr="005B383F">
              <w:rPr>
                <w:rFonts w:ascii="Calibri" w:hAnsi="Calibri"/>
                <w:b/>
                <w:bCs/>
                <w:sz w:val="16"/>
                <w:szCs w:val="16"/>
              </w:rPr>
              <w:t>Podpora obnovy kulturních památek</w:t>
            </w:r>
          </w:p>
        </w:tc>
        <w:tc>
          <w:tcPr>
            <w:tcW w:w="1480" w:type="dxa"/>
            <w:tcBorders>
              <w:top w:val="nil"/>
              <w:left w:val="nil"/>
              <w:bottom w:val="single" w:sz="4" w:space="0" w:color="auto"/>
              <w:right w:val="single" w:sz="12" w:space="0" w:color="auto"/>
            </w:tcBorders>
            <w:shd w:val="clear" w:color="auto" w:fill="auto"/>
            <w:noWrap/>
            <w:vAlign w:val="bottom"/>
            <w:hideMark/>
          </w:tcPr>
          <w:p w14:paraId="513479E5" w14:textId="77777777" w:rsidR="00806255" w:rsidRPr="005B383F" w:rsidRDefault="00806255" w:rsidP="00806255">
            <w:pPr>
              <w:spacing w:line="240" w:lineRule="auto"/>
              <w:jc w:val="right"/>
              <w:rPr>
                <w:rFonts w:ascii="Calibri" w:hAnsi="Calibri"/>
                <w:b/>
                <w:bCs/>
                <w:sz w:val="18"/>
                <w:szCs w:val="18"/>
              </w:rPr>
            </w:pPr>
            <w:r w:rsidRPr="005B383F">
              <w:rPr>
                <w:rFonts w:ascii="Calibri" w:hAnsi="Calibri"/>
                <w:b/>
                <w:bCs/>
                <w:sz w:val="18"/>
                <w:szCs w:val="18"/>
              </w:rPr>
              <w:t>0</w:t>
            </w:r>
          </w:p>
        </w:tc>
      </w:tr>
      <w:tr w:rsidR="00806255" w:rsidRPr="005B383F" w14:paraId="513479EA" w14:textId="77777777" w:rsidTr="00806255">
        <w:trPr>
          <w:trHeight w:val="288"/>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E7" w14:textId="77777777" w:rsidR="00806255" w:rsidRPr="005B383F" w:rsidRDefault="00806255" w:rsidP="00806255">
            <w:pPr>
              <w:spacing w:line="240" w:lineRule="auto"/>
              <w:jc w:val="left"/>
              <w:rPr>
                <w:rFonts w:ascii="Calibri" w:hAnsi="Calibri"/>
                <w:b/>
                <w:bCs/>
                <w:sz w:val="18"/>
                <w:szCs w:val="18"/>
              </w:rPr>
            </w:pPr>
            <w:r w:rsidRPr="005B383F">
              <w:rPr>
                <w:rFonts w:ascii="Calibri" w:hAnsi="Calibri"/>
                <w:b/>
                <w:bCs/>
                <w:sz w:val="18"/>
                <w:szCs w:val="18"/>
              </w:rPr>
              <w:t>134V71000</w:t>
            </w:r>
          </w:p>
        </w:tc>
        <w:tc>
          <w:tcPr>
            <w:tcW w:w="5964" w:type="dxa"/>
            <w:tcBorders>
              <w:top w:val="nil"/>
              <w:left w:val="nil"/>
              <w:bottom w:val="single" w:sz="4" w:space="0" w:color="auto"/>
              <w:right w:val="single" w:sz="8" w:space="0" w:color="auto"/>
            </w:tcBorders>
            <w:shd w:val="clear" w:color="auto" w:fill="auto"/>
            <w:vAlign w:val="bottom"/>
            <w:hideMark/>
          </w:tcPr>
          <w:p w14:paraId="513479E8" w14:textId="77777777" w:rsidR="00806255" w:rsidRPr="005B383F" w:rsidRDefault="00806255" w:rsidP="00806255">
            <w:pPr>
              <w:spacing w:line="240" w:lineRule="auto"/>
              <w:jc w:val="left"/>
              <w:rPr>
                <w:rFonts w:ascii="Calibri" w:hAnsi="Calibri"/>
                <w:b/>
                <w:bCs/>
                <w:sz w:val="16"/>
                <w:szCs w:val="16"/>
              </w:rPr>
            </w:pPr>
            <w:r w:rsidRPr="005B383F">
              <w:rPr>
                <w:rFonts w:ascii="Calibri" w:hAnsi="Calibri"/>
                <w:b/>
                <w:bCs/>
                <w:sz w:val="16"/>
                <w:szCs w:val="16"/>
              </w:rPr>
              <w:t>Kulturní dědictví státu, podporované evropskými fondy</w:t>
            </w:r>
          </w:p>
        </w:tc>
        <w:tc>
          <w:tcPr>
            <w:tcW w:w="1480" w:type="dxa"/>
            <w:tcBorders>
              <w:top w:val="nil"/>
              <w:left w:val="nil"/>
              <w:bottom w:val="single" w:sz="4" w:space="0" w:color="auto"/>
              <w:right w:val="single" w:sz="12" w:space="0" w:color="auto"/>
            </w:tcBorders>
            <w:shd w:val="clear" w:color="auto" w:fill="auto"/>
            <w:noWrap/>
            <w:vAlign w:val="bottom"/>
            <w:hideMark/>
          </w:tcPr>
          <w:p w14:paraId="513479E9" w14:textId="77777777" w:rsidR="00806255" w:rsidRPr="005B383F" w:rsidRDefault="00806255" w:rsidP="00806255">
            <w:pPr>
              <w:spacing w:line="240" w:lineRule="auto"/>
              <w:jc w:val="right"/>
              <w:rPr>
                <w:rFonts w:ascii="Calibri" w:hAnsi="Calibri"/>
                <w:b/>
                <w:bCs/>
                <w:sz w:val="18"/>
                <w:szCs w:val="18"/>
              </w:rPr>
            </w:pPr>
            <w:r w:rsidRPr="005B383F">
              <w:rPr>
                <w:rFonts w:ascii="Calibri" w:hAnsi="Calibri"/>
                <w:b/>
                <w:bCs/>
                <w:sz w:val="18"/>
                <w:szCs w:val="18"/>
              </w:rPr>
              <w:t>50 180 000</w:t>
            </w:r>
          </w:p>
        </w:tc>
      </w:tr>
      <w:tr w:rsidR="00806255" w:rsidRPr="005B383F" w14:paraId="513479EE" w14:textId="77777777" w:rsidTr="00806255">
        <w:trPr>
          <w:trHeight w:val="228"/>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EB"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134V71100</w:t>
            </w:r>
          </w:p>
        </w:tc>
        <w:tc>
          <w:tcPr>
            <w:tcW w:w="5964" w:type="dxa"/>
            <w:tcBorders>
              <w:top w:val="nil"/>
              <w:left w:val="nil"/>
              <w:bottom w:val="single" w:sz="4" w:space="0" w:color="auto"/>
              <w:right w:val="single" w:sz="8" w:space="0" w:color="auto"/>
            </w:tcBorders>
            <w:shd w:val="clear" w:color="auto" w:fill="auto"/>
            <w:vAlign w:val="bottom"/>
            <w:hideMark/>
          </w:tcPr>
          <w:p w14:paraId="513479EC"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Zefektivnění prezentace, posílení ochrany a rozvoj kulturního dědictví - IROP SC 3.1</w:t>
            </w:r>
          </w:p>
        </w:tc>
        <w:tc>
          <w:tcPr>
            <w:tcW w:w="1480" w:type="dxa"/>
            <w:tcBorders>
              <w:top w:val="nil"/>
              <w:left w:val="nil"/>
              <w:bottom w:val="single" w:sz="4" w:space="0" w:color="auto"/>
              <w:right w:val="single" w:sz="12" w:space="0" w:color="auto"/>
            </w:tcBorders>
            <w:shd w:val="clear" w:color="auto" w:fill="auto"/>
            <w:noWrap/>
            <w:vAlign w:val="bottom"/>
            <w:hideMark/>
          </w:tcPr>
          <w:p w14:paraId="513479ED"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36 000 000</w:t>
            </w:r>
          </w:p>
        </w:tc>
      </w:tr>
      <w:tr w:rsidR="00806255" w:rsidRPr="005B383F" w14:paraId="513479F2" w14:textId="77777777" w:rsidTr="00806255">
        <w:trPr>
          <w:trHeight w:val="232"/>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EF"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134V71200</w:t>
            </w:r>
          </w:p>
        </w:tc>
        <w:tc>
          <w:tcPr>
            <w:tcW w:w="5964" w:type="dxa"/>
            <w:tcBorders>
              <w:top w:val="nil"/>
              <w:left w:val="nil"/>
              <w:bottom w:val="single" w:sz="4" w:space="0" w:color="auto"/>
              <w:right w:val="single" w:sz="8" w:space="0" w:color="auto"/>
            </w:tcBorders>
            <w:shd w:val="clear" w:color="auto" w:fill="auto"/>
            <w:vAlign w:val="bottom"/>
            <w:hideMark/>
          </w:tcPr>
          <w:p w14:paraId="513479F0"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eCulture - IROP SC 3.2</w:t>
            </w:r>
          </w:p>
        </w:tc>
        <w:tc>
          <w:tcPr>
            <w:tcW w:w="1480" w:type="dxa"/>
            <w:tcBorders>
              <w:top w:val="nil"/>
              <w:left w:val="nil"/>
              <w:bottom w:val="single" w:sz="4" w:space="0" w:color="auto"/>
              <w:right w:val="single" w:sz="12" w:space="0" w:color="auto"/>
            </w:tcBorders>
            <w:shd w:val="clear" w:color="auto" w:fill="auto"/>
            <w:noWrap/>
            <w:vAlign w:val="bottom"/>
            <w:hideMark/>
          </w:tcPr>
          <w:p w14:paraId="513479F1"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8 000 000</w:t>
            </w:r>
          </w:p>
        </w:tc>
      </w:tr>
      <w:tr w:rsidR="00806255" w:rsidRPr="005B383F" w14:paraId="513479F6" w14:textId="77777777" w:rsidTr="00806255">
        <w:trPr>
          <w:trHeight w:val="222"/>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F3"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134V71300</w:t>
            </w:r>
          </w:p>
        </w:tc>
        <w:tc>
          <w:tcPr>
            <w:tcW w:w="5964" w:type="dxa"/>
            <w:tcBorders>
              <w:top w:val="nil"/>
              <w:left w:val="nil"/>
              <w:bottom w:val="single" w:sz="4" w:space="0" w:color="auto"/>
              <w:right w:val="single" w:sz="8" w:space="0" w:color="auto"/>
            </w:tcBorders>
            <w:shd w:val="clear" w:color="auto" w:fill="auto"/>
            <w:vAlign w:val="bottom"/>
            <w:hideMark/>
          </w:tcPr>
          <w:p w14:paraId="513479F4"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Operační program Zaměstnanost</w:t>
            </w:r>
          </w:p>
        </w:tc>
        <w:tc>
          <w:tcPr>
            <w:tcW w:w="1480" w:type="dxa"/>
            <w:tcBorders>
              <w:top w:val="nil"/>
              <w:left w:val="nil"/>
              <w:bottom w:val="single" w:sz="4" w:space="0" w:color="auto"/>
              <w:right w:val="single" w:sz="12" w:space="0" w:color="auto"/>
            </w:tcBorders>
            <w:shd w:val="clear" w:color="auto" w:fill="auto"/>
            <w:noWrap/>
            <w:vAlign w:val="bottom"/>
            <w:hideMark/>
          </w:tcPr>
          <w:p w14:paraId="513479F5"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6 180 000</w:t>
            </w:r>
          </w:p>
        </w:tc>
      </w:tr>
      <w:tr w:rsidR="00806255" w:rsidRPr="005B383F" w14:paraId="513479FA" w14:textId="77777777" w:rsidTr="00806255">
        <w:trPr>
          <w:trHeight w:val="92"/>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F7" w14:textId="77777777" w:rsidR="00806255" w:rsidRPr="005B383F" w:rsidRDefault="00806255" w:rsidP="00806255">
            <w:pPr>
              <w:spacing w:line="240" w:lineRule="auto"/>
              <w:jc w:val="left"/>
              <w:rPr>
                <w:rFonts w:ascii="Calibri" w:hAnsi="Calibri"/>
                <w:b/>
                <w:bCs/>
                <w:sz w:val="18"/>
                <w:szCs w:val="18"/>
              </w:rPr>
            </w:pPr>
            <w:r w:rsidRPr="005B383F">
              <w:rPr>
                <w:rFonts w:ascii="Calibri" w:hAnsi="Calibri"/>
                <w:b/>
                <w:bCs/>
                <w:sz w:val="18"/>
                <w:szCs w:val="18"/>
              </w:rPr>
              <w:t>234V110</w:t>
            </w:r>
          </w:p>
        </w:tc>
        <w:tc>
          <w:tcPr>
            <w:tcW w:w="5964" w:type="dxa"/>
            <w:tcBorders>
              <w:top w:val="nil"/>
              <w:left w:val="nil"/>
              <w:bottom w:val="single" w:sz="4" w:space="0" w:color="auto"/>
              <w:right w:val="single" w:sz="8" w:space="0" w:color="auto"/>
            </w:tcBorders>
            <w:shd w:val="clear" w:color="auto" w:fill="auto"/>
            <w:vAlign w:val="bottom"/>
            <w:hideMark/>
          </w:tcPr>
          <w:p w14:paraId="513479F8" w14:textId="77777777" w:rsidR="00806255" w:rsidRPr="005B383F" w:rsidRDefault="00806255" w:rsidP="00806255">
            <w:pPr>
              <w:spacing w:line="240" w:lineRule="auto"/>
              <w:jc w:val="left"/>
              <w:rPr>
                <w:rFonts w:ascii="Calibri" w:hAnsi="Calibri"/>
                <w:b/>
                <w:bCs/>
                <w:sz w:val="16"/>
                <w:szCs w:val="16"/>
              </w:rPr>
            </w:pPr>
            <w:r w:rsidRPr="005B383F">
              <w:rPr>
                <w:rFonts w:ascii="Calibri" w:hAnsi="Calibri"/>
                <w:b/>
                <w:bCs/>
                <w:sz w:val="16"/>
                <w:szCs w:val="16"/>
              </w:rPr>
              <w:t>Rozvoj a obnova materiálně technické základny státních kulturních zařízení</w:t>
            </w:r>
          </w:p>
        </w:tc>
        <w:tc>
          <w:tcPr>
            <w:tcW w:w="1480" w:type="dxa"/>
            <w:tcBorders>
              <w:top w:val="nil"/>
              <w:left w:val="nil"/>
              <w:bottom w:val="single" w:sz="4" w:space="0" w:color="auto"/>
              <w:right w:val="single" w:sz="12" w:space="0" w:color="auto"/>
            </w:tcBorders>
            <w:shd w:val="clear" w:color="auto" w:fill="auto"/>
            <w:noWrap/>
            <w:vAlign w:val="bottom"/>
            <w:hideMark/>
          </w:tcPr>
          <w:p w14:paraId="513479F9" w14:textId="77777777" w:rsidR="00806255" w:rsidRPr="005B383F" w:rsidRDefault="00806255" w:rsidP="00806255">
            <w:pPr>
              <w:spacing w:line="240" w:lineRule="auto"/>
              <w:jc w:val="right"/>
              <w:rPr>
                <w:rFonts w:ascii="Calibri" w:hAnsi="Calibri"/>
                <w:b/>
                <w:bCs/>
                <w:sz w:val="18"/>
                <w:szCs w:val="18"/>
              </w:rPr>
            </w:pPr>
            <w:r w:rsidRPr="005B383F">
              <w:rPr>
                <w:rFonts w:ascii="Calibri" w:hAnsi="Calibri"/>
                <w:b/>
                <w:bCs/>
                <w:sz w:val="18"/>
                <w:szCs w:val="18"/>
              </w:rPr>
              <w:t>0</w:t>
            </w:r>
          </w:p>
        </w:tc>
      </w:tr>
      <w:tr w:rsidR="00806255" w:rsidRPr="005B383F" w14:paraId="513479FE" w14:textId="77777777" w:rsidTr="00806255">
        <w:trPr>
          <w:trHeight w:val="188"/>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FB"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234V11200</w:t>
            </w:r>
          </w:p>
        </w:tc>
        <w:tc>
          <w:tcPr>
            <w:tcW w:w="5964" w:type="dxa"/>
            <w:tcBorders>
              <w:top w:val="nil"/>
              <w:left w:val="nil"/>
              <w:bottom w:val="single" w:sz="4" w:space="0" w:color="auto"/>
              <w:right w:val="single" w:sz="8" w:space="0" w:color="auto"/>
            </w:tcBorders>
            <w:shd w:val="clear" w:color="auto" w:fill="auto"/>
            <w:vAlign w:val="bottom"/>
            <w:hideMark/>
          </w:tcPr>
          <w:p w14:paraId="513479FC"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Podpora reprodukce majetku státních kulturních zařízení</w:t>
            </w:r>
          </w:p>
        </w:tc>
        <w:tc>
          <w:tcPr>
            <w:tcW w:w="1480" w:type="dxa"/>
            <w:tcBorders>
              <w:top w:val="nil"/>
              <w:left w:val="nil"/>
              <w:bottom w:val="single" w:sz="4" w:space="0" w:color="auto"/>
              <w:right w:val="single" w:sz="12" w:space="0" w:color="auto"/>
            </w:tcBorders>
            <w:shd w:val="clear" w:color="auto" w:fill="auto"/>
            <w:noWrap/>
            <w:vAlign w:val="bottom"/>
            <w:hideMark/>
          </w:tcPr>
          <w:p w14:paraId="513479FD"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0</w:t>
            </w:r>
          </w:p>
        </w:tc>
      </w:tr>
      <w:tr w:rsidR="00806255" w:rsidRPr="005B383F" w14:paraId="51347A02" w14:textId="77777777" w:rsidTr="00806255">
        <w:trPr>
          <w:trHeight w:val="178"/>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9FF"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234V11300</w:t>
            </w:r>
          </w:p>
        </w:tc>
        <w:tc>
          <w:tcPr>
            <w:tcW w:w="5964" w:type="dxa"/>
            <w:tcBorders>
              <w:top w:val="nil"/>
              <w:left w:val="nil"/>
              <w:bottom w:val="single" w:sz="4" w:space="0" w:color="auto"/>
              <w:right w:val="single" w:sz="8" w:space="0" w:color="auto"/>
            </w:tcBorders>
            <w:shd w:val="clear" w:color="auto" w:fill="auto"/>
            <w:vAlign w:val="bottom"/>
            <w:hideMark/>
          </w:tcPr>
          <w:p w14:paraId="51347A00"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Náhrada úbytku objektů kulturních zařízení</w:t>
            </w:r>
          </w:p>
        </w:tc>
        <w:tc>
          <w:tcPr>
            <w:tcW w:w="1480" w:type="dxa"/>
            <w:tcBorders>
              <w:top w:val="nil"/>
              <w:left w:val="nil"/>
              <w:bottom w:val="single" w:sz="4" w:space="0" w:color="auto"/>
              <w:right w:val="single" w:sz="12" w:space="0" w:color="auto"/>
            </w:tcBorders>
            <w:shd w:val="clear" w:color="auto" w:fill="auto"/>
            <w:noWrap/>
            <w:vAlign w:val="bottom"/>
            <w:hideMark/>
          </w:tcPr>
          <w:p w14:paraId="51347A01"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0</w:t>
            </w:r>
          </w:p>
        </w:tc>
      </w:tr>
      <w:tr w:rsidR="00806255" w:rsidRPr="005B383F" w14:paraId="51347A06" w14:textId="77777777" w:rsidTr="00806255">
        <w:trPr>
          <w:trHeight w:val="154"/>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A03"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234V11400</w:t>
            </w:r>
          </w:p>
        </w:tc>
        <w:tc>
          <w:tcPr>
            <w:tcW w:w="5964" w:type="dxa"/>
            <w:tcBorders>
              <w:top w:val="nil"/>
              <w:left w:val="nil"/>
              <w:bottom w:val="single" w:sz="4" w:space="0" w:color="auto"/>
              <w:right w:val="single" w:sz="8" w:space="0" w:color="auto"/>
            </w:tcBorders>
            <w:shd w:val="clear" w:color="auto" w:fill="auto"/>
            <w:vAlign w:val="bottom"/>
            <w:hideMark/>
          </w:tcPr>
          <w:p w14:paraId="51347A04"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 xml:space="preserve">Podpora záchrany, obnovy a revitalizace kulturních památek </w:t>
            </w:r>
          </w:p>
        </w:tc>
        <w:tc>
          <w:tcPr>
            <w:tcW w:w="1480" w:type="dxa"/>
            <w:tcBorders>
              <w:top w:val="nil"/>
              <w:left w:val="nil"/>
              <w:bottom w:val="single" w:sz="4" w:space="0" w:color="auto"/>
              <w:right w:val="single" w:sz="12" w:space="0" w:color="auto"/>
            </w:tcBorders>
            <w:shd w:val="clear" w:color="auto" w:fill="auto"/>
            <w:noWrap/>
            <w:vAlign w:val="bottom"/>
            <w:hideMark/>
          </w:tcPr>
          <w:p w14:paraId="51347A05"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0</w:t>
            </w:r>
          </w:p>
        </w:tc>
      </w:tr>
      <w:tr w:rsidR="00806255" w:rsidRPr="005B383F" w14:paraId="51347A0A" w14:textId="77777777" w:rsidTr="00806255">
        <w:trPr>
          <w:trHeight w:val="144"/>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A07"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234D11G00</w:t>
            </w:r>
          </w:p>
        </w:tc>
        <w:tc>
          <w:tcPr>
            <w:tcW w:w="5964" w:type="dxa"/>
            <w:tcBorders>
              <w:top w:val="nil"/>
              <w:left w:val="nil"/>
              <w:bottom w:val="single" w:sz="4" w:space="0" w:color="auto"/>
              <w:right w:val="single" w:sz="8" w:space="0" w:color="auto"/>
            </w:tcBorders>
            <w:shd w:val="clear" w:color="auto" w:fill="auto"/>
            <w:vAlign w:val="bottom"/>
            <w:hideMark/>
          </w:tcPr>
          <w:p w14:paraId="51347A08"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Národní podpora využití potenciálu kulturního dědictví a technická pomoc IOP</w:t>
            </w:r>
          </w:p>
        </w:tc>
        <w:tc>
          <w:tcPr>
            <w:tcW w:w="1480" w:type="dxa"/>
            <w:tcBorders>
              <w:top w:val="nil"/>
              <w:left w:val="nil"/>
              <w:bottom w:val="single" w:sz="4" w:space="0" w:color="auto"/>
              <w:right w:val="single" w:sz="12" w:space="0" w:color="auto"/>
            </w:tcBorders>
            <w:shd w:val="clear" w:color="auto" w:fill="auto"/>
            <w:noWrap/>
            <w:vAlign w:val="bottom"/>
            <w:hideMark/>
          </w:tcPr>
          <w:p w14:paraId="51347A09"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0</w:t>
            </w:r>
          </w:p>
        </w:tc>
      </w:tr>
      <w:tr w:rsidR="00806255" w:rsidRPr="005B383F" w14:paraId="51347A0E" w14:textId="77777777" w:rsidTr="00806255">
        <w:trPr>
          <w:trHeight w:val="134"/>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A0B"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234V11G00</w:t>
            </w:r>
          </w:p>
        </w:tc>
        <w:tc>
          <w:tcPr>
            <w:tcW w:w="5964" w:type="dxa"/>
            <w:tcBorders>
              <w:top w:val="nil"/>
              <w:left w:val="nil"/>
              <w:bottom w:val="single" w:sz="4" w:space="0" w:color="auto"/>
              <w:right w:val="single" w:sz="8" w:space="0" w:color="auto"/>
            </w:tcBorders>
            <w:shd w:val="clear" w:color="auto" w:fill="auto"/>
            <w:vAlign w:val="bottom"/>
            <w:hideMark/>
          </w:tcPr>
          <w:p w14:paraId="51347A0C"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Národní podpora využití potenciálu kulturního dědictví a technická pomoc IOP</w:t>
            </w:r>
          </w:p>
        </w:tc>
        <w:tc>
          <w:tcPr>
            <w:tcW w:w="1480" w:type="dxa"/>
            <w:tcBorders>
              <w:top w:val="nil"/>
              <w:left w:val="nil"/>
              <w:bottom w:val="single" w:sz="4" w:space="0" w:color="auto"/>
              <w:right w:val="single" w:sz="12" w:space="0" w:color="auto"/>
            </w:tcBorders>
            <w:shd w:val="clear" w:color="auto" w:fill="auto"/>
            <w:noWrap/>
            <w:vAlign w:val="bottom"/>
            <w:hideMark/>
          </w:tcPr>
          <w:p w14:paraId="51347A0D"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0</w:t>
            </w:r>
          </w:p>
        </w:tc>
      </w:tr>
      <w:tr w:rsidR="00806255" w:rsidRPr="005B383F" w14:paraId="51347A12" w14:textId="77777777" w:rsidTr="00806255">
        <w:trPr>
          <w:trHeight w:val="126"/>
        </w:trPr>
        <w:tc>
          <w:tcPr>
            <w:tcW w:w="1716" w:type="dxa"/>
            <w:tcBorders>
              <w:top w:val="nil"/>
              <w:left w:val="single" w:sz="12" w:space="0" w:color="auto"/>
              <w:bottom w:val="single" w:sz="4" w:space="0" w:color="auto"/>
              <w:right w:val="single" w:sz="8" w:space="0" w:color="auto"/>
            </w:tcBorders>
            <w:shd w:val="clear" w:color="auto" w:fill="auto"/>
            <w:noWrap/>
            <w:vAlign w:val="bottom"/>
            <w:hideMark/>
          </w:tcPr>
          <w:p w14:paraId="51347A0F"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234V11700</w:t>
            </w:r>
          </w:p>
        </w:tc>
        <w:tc>
          <w:tcPr>
            <w:tcW w:w="5964" w:type="dxa"/>
            <w:tcBorders>
              <w:top w:val="nil"/>
              <w:left w:val="nil"/>
              <w:bottom w:val="single" w:sz="4" w:space="0" w:color="auto"/>
              <w:right w:val="single" w:sz="8" w:space="0" w:color="auto"/>
            </w:tcBorders>
            <w:shd w:val="clear" w:color="auto" w:fill="auto"/>
            <w:vAlign w:val="bottom"/>
            <w:hideMark/>
          </w:tcPr>
          <w:p w14:paraId="51347A10"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Rozvoj informační společnosti ve veřejné správě</w:t>
            </w:r>
          </w:p>
        </w:tc>
        <w:tc>
          <w:tcPr>
            <w:tcW w:w="1480" w:type="dxa"/>
            <w:tcBorders>
              <w:top w:val="nil"/>
              <w:left w:val="nil"/>
              <w:bottom w:val="single" w:sz="4" w:space="0" w:color="auto"/>
              <w:right w:val="single" w:sz="12" w:space="0" w:color="auto"/>
            </w:tcBorders>
            <w:shd w:val="clear" w:color="auto" w:fill="auto"/>
            <w:noWrap/>
            <w:vAlign w:val="bottom"/>
            <w:hideMark/>
          </w:tcPr>
          <w:p w14:paraId="51347A11"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0</w:t>
            </w:r>
          </w:p>
        </w:tc>
      </w:tr>
      <w:tr w:rsidR="00806255" w:rsidRPr="005B383F" w14:paraId="51347A16" w14:textId="77777777" w:rsidTr="00806255">
        <w:trPr>
          <w:trHeight w:val="242"/>
        </w:trPr>
        <w:tc>
          <w:tcPr>
            <w:tcW w:w="1716" w:type="dxa"/>
            <w:tcBorders>
              <w:top w:val="nil"/>
              <w:left w:val="single" w:sz="12" w:space="0" w:color="auto"/>
              <w:bottom w:val="single" w:sz="12" w:space="0" w:color="auto"/>
              <w:right w:val="single" w:sz="8" w:space="0" w:color="auto"/>
            </w:tcBorders>
            <w:shd w:val="clear" w:color="auto" w:fill="auto"/>
            <w:noWrap/>
            <w:vAlign w:val="bottom"/>
            <w:hideMark/>
          </w:tcPr>
          <w:p w14:paraId="51347A13" w14:textId="77777777" w:rsidR="00806255" w:rsidRPr="005B383F" w:rsidRDefault="00806255" w:rsidP="00806255">
            <w:pPr>
              <w:spacing w:line="240" w:lineRule="auto"/>
              <w:jc w:val="left"/>
              <w:rPr>
                <w:rFonts w:ascii="Calibri" w:hAnsi="Calibri"/>
                <w:sz w:val="18"/>
                <w:szCs w:val="18"/>
              </w:rPr>
            </w:pPr>
            <w:r w:rsidRPr="005B383F">
              <w:rPr>
                <w:rFonts w:ascii="Calibri" w:hAnsi="Calibri"/>
                <w:sz w:val="18"/>
                <w:szCs w:val="18"/>
              </w:rPr>
              <w:t>234V11900</w:t>
            </w:r>
          </w:p>
        </w:tc>
        <w:tc>
          <w:tcPr>
            <w:tcW w:w="5964" w:type="dxa"/>
            <w:tcBorders>
              <w:top w:val="nil"/>
              <w:left w:val="nil"/>
              <w:bottom w:val="single" w:sz="12" w:space="0" w:color="auto"/>
              <w:right w:val="single" w:sz="8" w:space="0" w:color="auto"/>
            </w:tcBorders>
            <w:shd w:val="clear" w:color="auto" w:fill="auto"/>
            <w:vAlign w:val="bottom"/>
            <w:hideMark/>
          </w:tcPr>
          <w:p w14:paraId="51347A14" w14:textId="77777777" w:rsidR="00806255" w:rsidRPr="005B383F" w:rsidRDefault="00806255" w:rsidP="00806255">
            <w:pPr>
              <w:spacing w:line="240" w:lineRule="auto"/>
              <w:jc w:val="left"/>
              <w:rPr>
                <w:rFonts w:ascii="Calibri" w:hAnsi="Calibri"/>
                <w:sz w:val="16"/>
                <w:szCs w:val="16"/>
              </w:rPr>
            </w:pPr>
            <w:r w:rsidRPr="005B383F">
              <w:rPr>
                <w:rFonts w:ascii="Calibri" w:hAnsi="Calibri"/>
                <w:sz w:val="16"/>
                <w:szCs w:val="16"/>
              </w:rPr>
              <w:t>Operační program Životní prostředí - ERDF</w:t>
            </w:r>
          </w:p>
        </w:tc>
        <w:tc>
          <w:tcPr>
            <w:tcW w:w="1480" w:type="dxa"/>
            <w:tcBorders>
              <w:top w:val="nil"/>
              <w:left w:val="nil"/>
              <w:bottom w:val="single" w:sz="12" w:space="0" w:color="auto"/>
              <w:right w:val="single" w:sz="12" w:space="0" w:color="auto"/>
            </w:tcBorders>
            <w:shd w:val="clear" w:color="auto" w:fill="auto"/>
            <w:noWrap/>
            <w:vAlign w:val="bottom"/>
            <w:hideMark/>
          </w:tcPr>
          <w:p w14:paraId="51347A15" w14:textId="77777777" w:rsidR="00806255" w:rsidRPr="005B383F" w:rsidRDefault="00806255" w:rsidP="00806255">
            <w:pPr>
              <w:spacing w:line="240" w:lineRule="auto"/>
              <w:jc w:val="right"/>
              <w:rPr>
                <w:rFonts w:ascii="Calibri" w:hAnsi="Calibri"/>
                <w:sz w:val="18"/>
                <w:szCs w:val="18"/>
              </w:rPr>
            </w:pPr>
            <w:r w:rsidRPr="005B383F">
              <w:rPr>
                <w:rFonts w:ascii="Calibri" w:hAnsi="Calibri"/>
                <w:sz w:val="18"/>
                <w:szCs w:val="18"/>
              </w:rPr>
              <w:t>0</w:t>
            </w:r>
          </w:p>
        </w:tc>
      </w:tr>
      <w:tr w:rsidR="005B383F" w:rsidRPr="005B383F" w14:paraId="51347A1A" w14:textId="77777777" w:rsidTr="005B383F">
        <w:trPr>
          <w:trHeight w:val="312"/>
        </w:trPr>
        <w:tc>
          <w:tcPr>
            <w:tcW w:w="1716" w:type="dxa"/>
            <w:tcBorders>
              <w:top w:val="nil"/>
              <w:left w:val="single" w:sz="12" w:space="0" w:color="auto"/>
              <w:bottom w:val="single" w:sz="12" w:space="0" w:color="auto"/>
              <w:right w:val="single" w:sz="8" w:space="0" w:color="auto"/>
            </w:tcBorders>
            <w:shd w:val="clear" w:color="auto" w:fill="auto"/>
            <w:noWrap/>
            <w:vAlign w:val="center"/>
            <w:hideMark/>
          </w:tcPr>
          <w:p w14:paraId="51347A17" w14:textId="77777777" w:rsidR="00806255" w:rsidRPr="005B383F" w:rsidRDefault="00806255" w:rsidP="005B383F">
            <w:pPr>
              <w:spacing w:line="240" w:lineRule="auto"/>
              <w:jc w:val="left"/>
              <w:rPr>
                <w:rFonts w:ascii="Calibri" w:hAnsi="Calibri"/>
                <w:b/>
                <w:bCs/>
                <w:sz w:val="18"/>
                <w:szCs w:val="18"/>
              </w:rPr>
            </w:pPr>
            <w:r w:rsidRPr="005B383F">
              <w:rPr>
                <w:rFonts w:ascii="Calibri" w:hAnsi="Calibri"/>
                <w:b/>
                <w:bCs/>
                <w:sz w:val="18"/>
                <w:szCs w:val="18"/>
              </w:rPr>
              <w:t> </w:t>
            </w:r>
          </w:p>
        </w:tc>
        <w:tc>
          <w:tcPr>
            <w:tcW w:w="5964" w:type="dxa"/>
            <w:tcBorders>
              <w:top w:val="nil"/>
              <w:left w:val="nil"/>
              <w:bottom w:val="single" w:sz="12" w:space="0" w:color="auto"/>
              <w:right w:val="single" w:sz="8" w:space="0" w:color="auto"/>
            </w:tcBorders>
            <w:shd w:val="clear" w:color="auto" w:fill="auto"/>
            <w:noWrap/>
            <w:vAlign w:val="center"/>
            <w:hideMark/>
          </w:tcPr>
          <w:p w14:paraId="51347A18" w14:textId="77777777" w:rsidR="00806255" w:rsidRPr="005B383F" w:rsidRDefault="00806255" w:rsidP="005B383F">
            <w:pPr>
              <w:spacing w:line="240" w:lineRule="auto"/>
              <w:jc w:val="left"/>
              <w:rPr>
                <w:rFonts w:ascii="Calibri" w:hAnsi="Calibri"/>
                <w:b/>
                <w:bCs/>
                <w:sz w:val="18"/>
                <w:szCs w:val="18"/>
              </w:rPr>
            </w:pPr>
            <w:r w:rsidRPr="005B383F">
              <w:rPr>
                <w:rFonts w:ascii="Calibri" w:hAnsi="Calibri"/>
                <w:b/>
                <w:bCs/>
                <w:sz w:val="18"/>
                <w:szCs w:val="18"/>
              </w:rPr>
              <w:t>Celkem EDS/SMVS</w:t>
            </w:r>
          </w:p>
        </w:tc>
        <w:tc>
          <w:tcPr>
            <w:tcW w:w="1480" w:type="dxa"/>
            <w:tcBorders>
              <w:top w:val="nil"/>
              <w:left w:val="nil"/>
              <w:bottom w:val="single" w:sz="12" w:space="0" w:color="auto"/>
              <w:right w:val="single" w:sz="12" w:space="0" w:color="auto"/>
            </w:tcBorders>
            <w:shd w:val="clear" w:color="auto" w:fill="auto"/>
            <w:noWrap/>
            <w:vAlign w:val="center"/>
            <w:hideMark/>
          </w:tcPr>
          <w:p w14:paraId="51347A19" w14:textId="77777777" w:rsidR="00806255" w:rsidRPr="005B383F" w:rsidRDefault="00806255" w:rsidP="005B383F">
            <w:pPr>
              <w:spacing w:line="240" w:lineRule="auto"/>
              <w:jc w:val="right"/>
              <w:rPr>
                <w:rFonts w:ascii="Calibri" w:hAnsi="Calibri"/>
                <w:b/>
                <w:bCs/>
                <w:sz w:val="18"/>
                <w:szCs w:val="18"/>
              </w:rPr>
            </w:pPr>
            <w:r w:rsidRPr="005B383F">
              <w:rPr>
                <w:rFonts w:ascii="Calibri" w:hAnsi="Calibri"/>
                <w:b/>
                <w:bCs/>
                <w:sz w:val="18"/>
                <w:szCs w:val="18"/>
              </w:rPr>
              <w:t>1 632 197 000</w:t>
            </w:r>
          </w:p>
        </w:tc>
      </w:tr>
    </w:tbl>
    <w:p w14:paraId="51347A1B" w14:textId="77777777" w:rsidR="00806255" w:rsidRPr="005B383F" w:rsidRDefault="00806255" w:rsidP="00806255"/>
    <w:p w14:paraId="51347A1C" w14:textId="77777777" w:rsidR="00806255" w:rsidRDefault="00806255">
      <w:pPr>
        <w:spacing w:after="200"/>
        <w:jc w:val="left"/>
        <w:rPr>
          <w:rFonts w:ascii="Times New Roman" w:hAnsi="Times New Roman"/>
          <w:lang w:eastAsia="en-US"/>
        </w:rPr>
      </w:pPr>
      <w:r>
        <w:rPr>
          <w:rFonts w:ascii="Times New Roman" w:hAnsi="Times New Roman"/>
          <w:lang w:eastAsia="en-US"/>
        </w:rPr>
        <w:br w:type="page"/>
      </w:r>
    </w:p>
    <w:p w14:paraId="51347A1D" w14:textId="77777777" w:rsidR="00D55972" w:rsidRPr="00E96118" w:rsidRDefault="005E5D9A" w:rsidP="001D72D6">
      <w:pPr>
        <w:pStyle w:val="Nadpis2"/>
        <w:tabs>
          <w:tab w:val="left" w:pos="708"/>
          <w:tab w:val="left" w:pos="1416"/>
          <w:tab w:val="left" w:pos="2124"/>
          <w:tab w:val="left" w:pos="2832"/>
          <w:tab w:val="left" w:pos="3540"/>
          <w:tab w:val="left" w:pos="4248"/>
          <w:tab w:val="left" w:pos="4956"/>
          <w:tab w:val="left" w:pos="5664"/>
          <w:tab w:val="left" w:pos="6372"/>
          <w:tab w:val="left" w:pos="7080"/>
          <w:tab w:val="left" w:pos="7892"/>
        </w:tabs>
        <w:spacing w:before="0" w:line="240" w:lineRule="auto"/>
        <w:ind w:left="709" w:hanging="709"/>
      </w:pPr>
      <w:bookmarkStart w:id="18" w:name="_Toc431911992"/>
      <w:r>
        <w:lastRenderedPageBreak/>
        <w:t>C</w:t>
      </w:r>
      <w:r w:rsidR="0070256C" w:rsidRPr="00E96118">
        <w:t>. II.</w:t>
      </w:r>
      <w:r w:rsidR="0070256C" w:rsidRPr="00E96118">
        <w:tab/>
        <w:t>Výdaje spolufinancované zcela nebo částečně z </w:t>
      </w:r>
      <w:r w:rsidR="00202815">
        <w:t>rozpočtu</w:t>
      </w:r>
      <w:r w:rsidR="0070256C" w:rsidRPr="00E96118">
        <w:t xml:space="preserve"> Evropské unie</w:t>
      </w:r>
      <w:bookmarkEnd w:id="18"/>
      <w:r w:rsidR="0070256C" w:rsidRPr="00E96118">
        <w:t xml:space="preserve"> </w:t>
      </w:r>
    </w:p>
    <w:p w14:paraId="51347A1E" w14:textId="77777777" w:rsidR="0070256C" w:rsidRPr="00202815" w:rsidRDefault="001D72D6" w:rsidP="00202815">
      <w:pPr>
        <w:rPr>
          <w:rFonts w:ascii="Times New Roman" w:hAnsi="Times New Roman"/>
          <w:b/>
        </w:rPr>
      </w:pPr>
      <w:r>
        <w:tab/>
      </w:r>
      <w:bookmarkStart w:id="19" w:name="_Toc431911259"/>
      <w:bookmarkStart w:id="20" w:name="_Toc431911741"/>
      <w:bookmarkStart w:id="21" w:name="_Toc431911993"/>
      <w:r w:rsidR="005938BB" w:rsidRPr="00202815">
        <w:rPr>
          <w:rFonts w:ascii="Times New Roman" w:hAnsi="Times New Roman"/>
          <w:b/>
        </w:rPr>
        <w:t xml:space="preserve">bez </w:t>
      </w:r>
      <w:r w:rsidR="0070256C" w:rsidRPr="00202815">
        <w:rPr>
          <w:rFonts w:ascii="Times New Roman" w:hAnsi="Times New Roman"/>
          <w:b/>
        </w:rPr>
        <w:t>společné zemědělské politiky</w:t>
      </w:r>
      <w:r w:rsidR="00A804C3" w:rsidRPr="00202815">
        <w:rPr>
          <w:rFonts w:ascii="Times New Roman" w:hAnsi="Times New Roman"/>
          <w:b/>
        </w:rPr>
        <w:t xml:space="preserve"> 2014 - 2020</w:t>
      </w:r>
      <w:bookmarkEnd w:id="19"/>
      <w:bookmarkEnd w:id="20"/>
      <w:bookmarkEnd w:id="21"/>
    </w:p>
    <w:p w14:paraId="51347A1F" w14:textId="77777777" w:rsidR="00FC7E0A" w:rsidRPr="005B383F" w:rsidRDefault="00FC7E0A" w:rsidP="000F060D">
      <w:pPr>
        <w:rPr>
          <w:rFonts w:ascii="Times New Roman" w:hAnsi="Times New Roman"/>
          <w:lang w:eastAsia="en-US"/>
        </w:rPr>
      </w:pPr>
    </w:p>
    <w:tbl>
      <w:tblPr>
        <w:tblW w:w="9229" w:type="dxa"/>
        <w:tblInd w:w="55" w:type="dxa"/>
        <w:tblCellMar>
          <w:left w:w="70" w:type="dxa"/>
          <w:right w:w="70" w:type="dxa"/>
        </w:tblCellMar>
        <w:tblLook w:val="04A0" w:firstRow="1" w:lastRow="0" w:firstColumn="1" w:lastColumn="0" w:noHBand="0" w:noVBand="1"/>
      </w:tblPr>
      <w:tblGrid>
        <w:gridCol w:w="5260"/>
        <w:gridCol w:w="1276"/>
        <w:gridCol w:w="1417"/>
        <w:gridCol w:w="1276"/>
      </w:tblGrid>
      <w:tr w:rsidR="00015522" w:rsidRPr="005B383F" w14:paraId="51347A25" w14:textId="77777777" w:rsidTr="0070760E">
        <w:trPr>
          <w:trHeight w:val="600"/>
        </w:trPr>
        <w:tc>
          <w:tcPr>
            <w:tcW w:w="5260"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51347A20" w14:textId="77777777" w:rsidR="00015522" w:rsidRPr="005B383F" w:rsidRDefault="00015522" w:rsidP="0070760E">
            <w:pPr>
              <w:spacing w:line="240" w:lineRule="auto"/>
              <w:rPr>
                <w:rFonts w:ascii="Calibri" w:hAnsi="Calibri"/>
                <w:b/>
                <w:bCs/>
                <w:sz w:val="22"/>
                <w:szCs w:val="22"/>
              </w:rPr>
            </w:pPr>
            <w:r w:rsidRPr="005B383F">
              <w:rPr>
                <w:rFonts w:ascii="Calibri" w:hAnsi="Calibri"/>
                <w:b/>
                <w:bCs/>
                <w:sz w:val="22"/>
                <w:szCs w:val="22"/>
              </w:rPr>
              <w:t xml:space="preserve">PRŮŘEZOVÝ UKAZATEL </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51347A21"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SR 2015</w:t>
            </w:r>
          </w:p>
        </w:tc>
        <w:tc>
          <w:tcPr>
            <w:tcW w:w="1417" w:type="dxa"/>
            <w:tcBorders>
              <w:top w:val="single" w:sz="12" w:space="0" w:color="auto"/>
              <w:left w:val="nil"/>
              <w:bottom w:val="single" w:sz="12" w:space="0" w:color="auto"/>
              <w:right w:val="single" w:sz="8" w:space="0" w:color="auto"/>
            </w:tcBorders>
            <w:shd w:val="clear" w:color="auto" w:fill="auto"/>
            <w:noWrap/>
            <w:vAlign w:val="center"/>
            <w:hideMark/>
          </w:tcPr>
          <w:p w14:paraId="51347A22"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2016</w:t>
            </w:r>
          </w:p>
        </w:tc>
        <w:tc>
          <w:tcPr>
            <w:tcW w:w="1276" w:type="dxa"/>
            <w:tcBorders>
              <w:top w:val="single" w:sz="12" w:space="0" w:color="auto"/>
              <w:left w:val="nil"/>
              <w:bottom w:val="single" w:sz="12" w:space="0" w:color="auto"/>
              <w:right w:val="single" w:sz="12" w:space="0" w:color="auto"/>
            </w:tcBorders>
            <w:shd w:val="clear" w:color="auto" w:fill="auto"/>
            <w:vAlign w:val="center"/>
            <w:hideMark/>
          </w:tcPr>
          <w:p w14:paraId="51347A23"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 xml:space="preserve"> Rozdíl</w:t>
            </w:r>
          </w:p>
          <w:p w14:paraId="51347A24"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16 -SR 15</w:t>
            </w:r>
          </w:p>
        </w:tc>
      </w:tr>
      <w:tr w:rsidR="0070760E" w:rsidRPr="005B383F" w14:paraId="51347A2A" w14:textId="77777777" w:rsidTr="0070760E">
        <w:trPr>
          <w:trHeight w:val="408"/>
        </w:trPr>
        <w:tc>
          <w:tcPr>
            <w:tcW w:w="5260" w:type="dxa"/>
            <w:tcBorders>
              <w:top w:val="nil"/>
              <w:left w:val="single" w:sz="12" w:space="0" w:color="auto"/>
              <w:bottom w:val="single" w:sz="8" w:space="0" w:color="auto"/>
              <w:right w:val="single" w:sz="8" w:space="0" w:color="auto"/>
            </w:tcBorders>
            <w:shd w:val="clear" w:color="auto" w:fill="auto"/>
            <w:vAlign w:val="center"/>
            <w:hideMark/>
          </w:tcPr>
          <w:p w14:paraId="51347A26" w14:textId="77777777" w:rsidR="0070760E" w:rsidRPr="005B383F" w:rsidRDefault="0070760E" w:rsidP="0070760E">
            <w:pPr>
              <w:spacing w:line="240" w:lineRule="auto"/>
              <w:rPr>
                <w:rFonts w:ascii="Calibri" w:hAnsi="Calibri"/>
                <w:sz w:val="22"/>
                <w:szCs w:val="22"/>
              </w:rPr>
            </w:pPr>
            <w:r w:rsidRPr="005B383F">
              <w:rPr>
                <w:rFonts w:ascii="Calibri" w:hAnsi="Calibri"/>
                <w:sz w:val="22"/>
                <w:szCs w:val="22"/>
              </w:rPr>
              <w:t>Neinvestiční výdaje na projekty spolufinancované EU bez SZP</w:t>
            </w:r>
          </w:p>
        </w:tc>
        <w:tc>
          <w:tcPr>
            <w:tcW w:w="1276" w:type="dxa"/>
            <w:tcBorders>
              <w:top w:val="nil"/>
              <w:left w:val="nil"/>
              <w:bottom w:val="single" w:sz="8" w:space="0" w:color="auto"/>
              <w:right w:val="single" w:sz="8" w:space="0" w:color="auto"/>
            </w:tcBorders>
            <w:shd w:val="clear" w:color="auto" w:fill="auto"/>
            <w:vAlign w:val="center"/>
            <w:hideMark/>
          </w:tcPr>
          <w:p w14:paraId="51347A27" w14:textId="77777777" w:rsidR="0070760E" w:rsidRPr="005B383F" w:rsidRDefault="0070760E" w:rsidP="0070760E">
            <w:pPr>
              <w:spacing w:line="240" w:lineRule="auto"/>
              <w:jc w:val="right"/>
              <w:rPr>
                <w:rFonts w:ascii="Calibri" w:hAnsi="Calibri"/>
                <w:sz w:val="22"/>
                <w:szCs w:val="22"/>
              </w:rPr>
            </w:pPr>
            <w:r w:rsidRPr="005B383F">
              <w:rPr>
                <w:rFonts w:ascii="Calibri" w:hAnsi="Calibri"/>
                <w:sz w:val="22"/>
                <w:szCs w:val="22"/>
              </w:rPr>
              <w:t>0</w:t>
            </w:r>
          </w:p>
        </w:tc>
        <w:tc>
          <w:tcPr>
            <w:tcW w:w="1417" w:type="dxa"/>
            <w:tcBorders>
              <w:top w:val="nil"/>
              <w:left w:val="nil"/>
              <w:bottom w:val="single" w:sz="8" w:space="0" w:color="auto"/>
              <w:right w:val="single" w:sz="8" w:space="0" w:color="auto"/>
            </w:tcBorders>
            <w:shd w:val="clear" w:color="auto" w:fill="auto"/>
            <w:noWrap/>
            <w:vAlign w:val="center"/>
            <w:hideMark/>
          </w:tcPr>
          <w:p w14:paraId="51347A28" w14:textId="77777777" w:rsidR="0070760E" w:rsidRPr="005B383F" w:rsidRDefault="0070760E" w:rsidP="0070760E">
            <w:pPr>
              <w:spacing w:line="240" w:lineRule="auto"/>
              <w:jc w:val="right"/>
              <w:rPr>
                <w:rFonts w:ascii="Calibri" w:hAnsi="Calibri"/>
                <w:sz w:val="22"/>
                <w:szCs w:val="22"/>
              </w:rPr>
            </w:pPr>
            <w:r w:rsidRPr="005B383F">
              <w:rPr>
                <w:rFonts w:ascii="Calibri" w:hAnsi="Calibri"/>
                <w:sz w:val="22"/>
                <w:szCs w:val="22"/>
              </w:rPr>
              <w:t>0</w:t>
            </w:r>
          </w:p>
        </w:tc>
        <w:tc>
          <w:tcPr>
            <w:tcW w:w="1276" w:type="dxa"/>
            <w:tcBorders>
              <w:top w:val="nil"/>
              <w:left w:val="nil"/>
              <w:bottom w:val="single" w:sz="8" w:space="0" w:color="auto"/>
              <w:right w:val="single" w:sz="12" w:space="0" w:color="auto"/>
            </w:tcBorders>
            <w:shd w:val="clear" w:color="auto" w:fill="auto"/>
            <w:noWrap/>
            <w:vAlign w:val="center"/>
            <w:hideMark/>
          </w:tcPr>
          <w:p w14:paraId="51347A29" w14:textId="77777777" w:rsidR="0070760E" w:rsidRPr="005B383F" w:rsidRDefault="0070760E" w:rsidP="0070760E">
            <w:pPr>
              <w:spacing w:line="240" w:lineRule="auto"/>
              <w:jc w:val="right"/>
              <w:rPr>
                <w:rFonts w:ascii="Calibri" w:hAnsi="Calibri"/>
                <w:sz w:val="22"/>
                <w:szCs w:val="22"/>
              </w:rPr>
            </w:pPr>
            <w:r w:rsidRPr="005B383F">
              <w:rPr>
                <w:rFonts w:ascii="Calibri" w:hAnsi="Calibri"/>
                <w:sz w:val="22"/>
                <w:szCs w:val="22"/>
              </w:rPr>
              <w:t>0</w:t>
            </w:r>
          </w:p>
        </w:tc>
      </w:tr>
      <w:tr w:rsidR="0070760E" w:rsidRPr="005B383F" w14:paraId="51347A2F" w14:textId="77777777" w:rsidTr="0070760E">
        <w:trPr>
          <w:trHeight w:val="528"/>
        </w:trPr>
        <w:tc>
          <w:tcPr>
            <w:tcW w:w="5260" w:type="dxa"/>
            <w:tcBorders>
              <w:top w:val="nil"/>
              <w:left w:val="single" w:sz="12" w:space="0" w:color="auto"/>
              <w:bottom w:val="single" w:sz="8" w:space="0" w:color="auto"/>
              <w:right w:val="single" w:sz="8" w:space="0" w:color="auto"/>
            </w:tcBorders>
            <w:shd w:val="clear" w:color="auto" w:fill="auto"/>
            <w:noWrap/>
            <w:vAlign w:val="center"/>
            <w:hideMark/>
          </w:tcPr>
          <w:p w14:paraId="51347A2B" w14:textId="77777777" w:rsidR="0070760E" w:rsidRPr="005B383F" w:rsidRDefault="0070760E" w:rsidP="0070760E">
            <w:pPr>
              <w:spacing w:line="240" w:lineRule="auto"/>
              <w:rPr>
                <w:rFonts w:ascii="Calibri" w:hAnsi="Calibri"/>
                <w:sz w:val="22"/>
                <w:szCs w:val="22"/>
              </w:rPr>
            </w:pPr>
            <w:r w:rsidRPr="005B383F">
              <w:rPr>
                <w:rFonts w:ascii="Calibri" w:hAnsi="Calibri"/>
                <w:sz w:val="22"/>
                <w:szCs w:val="22"/>
              </w:rPr>
              <w:t>Rozvoj a obnova materiálně technické základny státních kulturních zařízení</w:t>
            </w:r>
          </w:p>
        </w:tc>
        <w:tc>
          <w:tcPr>
            <w:tcW w:w="1276" w:type="dxa"/>
            <w:tcBorders>
              <w:top w:val="nil"/>
              <w:left w:val="nil"/>
              <w:bottom w:val="single" w:sz="8" w:space="0" w:color="auto"/>
              <w:right w:val="single" w:sz="8" w:space="0" w:color="auto"/>
            </w:tcBorders>
            <w:shd w:val="clear" w:color="auto" w:fill="auto"/>
            <w:noWrap/>
            <w:vAlign w:val="center"/>
            <w:hideMark/>
          </w:tcPr>
          <w:p w14:paraId="51347A2C" w14:textId="77777777" w:rsidR="0070760E" w:rsidRPr="005B383F" w:rsidRDefault="0070760E" w:rsidP="0070760E">
            <w:pPr>
              <w:spacing w:line="240" w:lineRule="auto"/>
              <w:jc w:val="right"/>
              <w:rPr>
                <w:rFonts w:ascii="Calibri" w:hAnsi="Calibri"/>
                <w:sz w:val="22"/>
                <w:szCs w:val="22"/>
              </w:rPr>
            </w:pPr>
            <w:r w:rsidRPr="005B383F">
              <w:rPr>
                <w:rFonts w:ascii="Calibri" w:hAnsi="Calibri"/>
                <w:sz w:val="22"/>
                <w:szCs w:val="22"/>
              </w:rPr>
              <w:t>1 209 334</w:t>
            </w:r>
          </w:p>
        </w:tc>
        <w:tc>
          <w:tcPr>
            <w:tcW w:w="1417" w:type="dxa"/>
            <w:tcBorders>
              <w:top w:val="nil"/>
              <w:left w:val="nil"/>
              <w:bottom w:val="single" w:sz="8" w:space="0" w:color="auto"/>
              <w:right w:val="single" w:sz="8" w:space="0" w:color="auto"/>
            </w:tcBorders>
            <w:shd w:val="clear" w:color="auto" w:fill="auto"/>
            <w:noWrap/>
            <w:vAlign w:val="center"/>
            <w:hideMark/>
          </w:tcPr>
          <w:p w14:paraId="51347A2D" w14:textId="77777777" w:rsidR="0070760E" w:rsidRPr="005B383F" w:rsidRDefault="0070760E" w:rsidP="0070760E">
            <w:pPr>
              <w:spacing w:line="240" w:lineRule="auto"/>
              <w:jc w:val="right"/>
              <w:rPr>
                <w:rFonts w:ascii="Calibri" w:hAnsi="Calibri"/>
                <w:sz w:val="22"/>
                <w:szCs w:val="22"/>
              </w:rPr>
            </w:pPr>
            <w:r w:rsidRPr="005B383F">
              <w:rPr>
                <w:rFonts w:ascii="Calibri" w:hAnsi="Calibri"/>
                <w:sz w:val="22"/>
                <w:szCs w:val="22"/>
              </w:rPr>
              <w:t>0</w:t>
            </w:r>
          </w:p>
        </w:tc>
        <w:tc>
          <w:tcPr>
            <w:tcW w:w="1276" w:type="dxa"/>
            <w:tcBorders>
              <w:top w:val="nil"/>
              <w:left w:val="nil"/>
              <w:bottom w:val="single" w:sz="8" w:space="0" w:color="auto"/>
              <w:right w:val="single" w:sz="12" w:space="0" w:color="auto"/>
            </w:tcBorders>
            <w:shd w:val="clear" w:color="auto" w:fill="auto"/>
            <w:noWrap/>
            <w:vAlign w:val="center"/>
            <w:hideMark/>
          </w:tcPr>
          <w:p w14:paraId="51347A2E" w14:textId="77777777" w:rsidR="0070760E" w:rsidRPr="005B383F" w:rsidRDefault="0070760E" w:rsidP="0070760E">
            <w:pPr>
              <w:spacing w:line="240" w:lineRule="auto"/>
              <w:jc w:val="right"/>
              <w:rPr>
                <w:rFonts w:ascii="Calibri" w:hAnsi="Calibri"/>
                <w:sz w:val="22"/>
                <w:szCs w:val="22"/>
              </w:rPr>
            </w:pPr>
            <w:r w:rsidRPr="005B383F">
              <w:rPr>
                <w:rFonts w:ascii="Calibri" w:hAnsi="Calibri"/>
                <w:sz w:val="22"/>
                <w:szCs w:val="22"/>
              </w:rPr>
              <w:t>-1 209 334</w:t>
            </w:r>
          </w:p>
        </w:tc>
      </w:tr>
      <w:tr w:rsidR="0070760E" w:rsidRPr="005B383F" w14:paraId="51347A34" w14:textId="77777777" w:rsidTr="0070760E">
        <w:trPr>
          <w:trHeight w:val="504"/>
        </w:trPr>
        <w:tc>
          <w:tcPr>
            <w:tcW w:w="5260" w:type="dxa"/>
            <w:tcBorders>
              <w:top w:val="nil"/>
              <w:left w:val="single" w:sz="12" w:space="0" w:color="auto"/>
              <w:bottom w:val="single" w:sz="12" w:space="0" w:color="auto"/>
              <w:right w:val="single" w:sz="8" w:space="0" w:color="auto"/>
            </w:tcBorders>
            <w:shd w:val="clear" w:color="auto" w:fill="auto"/>
            <w:noWrap/>
            <w:vAlign w:val="center"/>
            <w:hideMark/>
          </w:tcPr>
          <w:p w14:paraId="51347A30" w14:textId="77777777" w:rsidR="0070760E" w:rsidRPr="005B383F" w:rsidRDefault="0070760E" w:rsidP="0070760E">
            <w:pPr>
              <w:spacing w:line="240" w:lineRule="auto"/>
              <w:rPr>
                <w:rFonts w:ascii="Calibri" w:hAnsi="Calibri"/>
                <w:sz w:val="22"/>
                <w:szCs w:val="22"/>
              </w:rPr>
            </w:pPr>
            <w:r w:rsidRPr="005B383F">
              <w:rPr>
                <w:rFonts w:ascii="Calibri" w:hAnsi="Calibri"/>
                <w:sz w:val="22"/>
                <w:szCs w:val="22"/>
              </w:rPr>
              <w:t xml:space="preserve">Kulturní dědictví ve vlastnictví státu podporované evropskými fondy </w:t>
            </w:r>
          </w:p>
        </w:tc>
        <w:tc>
          <w:tcPr>
            <w:tcW w:w="1276" w:type="dxa"/>
            <w:tcBorders>
              <w:top w:val="nil"/>
              <w:left w:val="nil"/>
              <w:bottom w:val="single" w:sz="12" w:space="0" w:color="auto"/>
              <w:right w:val="single" w:sz="8" w:space="0" w:color="auto"/>
            </w:tcBorders>
            <w:shd w:val="clear" w:color="auto" w:fill="auto"/>
            <w:noWrap/>
            <w:vAlign w:val="center"/>
            <w:hideMark/>
          </w:tcPr>
          <w:p w14:paraId="51347A31" w14:textId="77777777" w:rsidR="0070760E" w:rsidRPr="005B383F" w:rsidRDefault="0070760E" w:rsidP="0070760E">
            <w:pPr>
              <w:spacing w:line="240" w:lineRule="auto"/>
              <w:jc w:val="right"/>
              <w:rPr>
                <w:rFonts w:ascii="Calibri" w:hAnsi="Calibri"/>
                <w:sz w:val="22"/>
                <w:szCs w:val="22"/>
              </w:rPr>
            </w:pPr>
            <w:r w:rsidRPr="005B383F">
              <w:rPr>
                <w:rFonts w:ascii="Calibri" w:hAnsi="Calibri"/>
                <w:sz w:val="22"/>
                <w:szCs w:val="22"/>
              </w:rPr>
              <w:t>0</w:t>
            </w:r>
          </w:p>
        </w:tc>
        <w:tc>
          <w:tcPr>
            <w:tcW w:w="1417" w:type="dxa"/>
            <w:tcBorders>
              <w:top w:val="nil"/>
              <w:left w:val="nil"/>
              <w:bottom w:val="single" w:sz="12" w:space="0" w:color="auto"/>
              <w:right w:val="single" w:sz="8" w:space="0" w:color="auto"/>
            </w:tcBorders>
            <w:shd w:val="clear" w:color="auto" w:fill="auto"/>
            <w:noWrap/>
            <w:vAlign w:val="center"/>
            <w:hideMark/>
          </w:tcPr>
          <w:p w14:paraId="51347A32" w14:textId="77777777" w:rsidR="0070760E" w:rsidRPr="005B383F" w:rsidRDefault="0070760E" w:rsidP="0070760E">
            <w:pPr>
              <w:spacing w:line="240" w:lineRule="auto"/>
              <w:jc w:val="right"/>
              <w:rPr>
                <w:rFonts w:ascii="Calibri" w:hAnsi="Calibri"/>
                <w:sz w:val="22"/>
                <w:szCs w:val="22"/>
              </w:rPr>
            </w:pPr>
            <w:r w:rsidRPr="005B383F">
              <w:rPr>
                <w:rFonts w:ascii="Calibri" w:hAnsi="Calibri"/>
                <w:sz w:val="22"/>
                <w:szCs w:val="22"/>
              </w:rPr>
              <w:t>50 180 000</w:t>
            </w:r>
          </w:p>
        </w:tc>
        <w:tc>
          <w:tcPr>
            <w:tcW w:w="1276" w:type="dxa"/>
            <w:tcBorders>
              <w:top w:val="nil"/>
              <w:left w:val="nil"/>
              <w:bottom w:val="single" w:sz="12" w:space="0" w:color="auto"/>
              <w:right w:val="single" w:sz="12" w:space="0" w:color="auto"/>
            </w:tcBorders>
            <w:shd w:val="clear" w:color="auto" w:fill="auto"/>
            <w:noWrap/>
            <w:vAlign w:val="center"/>
            <w:hideMark/>
          </w:tcPr>
          <w:p w14:paraId="51347A33" w14:textId="77777777" w:rsidR="0070760E" w:rsidRPr="005B383F" w:rsidRDefault="0070760E" w:rsidP="0070760E">
            <w:pPr>
              <w:spacing w:line="240" w:lineRule="auto"/>
              <w:jc w:val="right"/>
              <w:rPr>
                <w:rFonts w:ascii="Calibri" w:hAnsi="Calibri"/>
                <w:sz w:val="22"/>
                <w:szCs w:val="22"/>
              </w:rPr>
            </w:pPr>
            <w:r w:rsidRPr="005B383F">
              <w:rPr>
                <w:rFonts w:ascii="Calibri" w:hAnsi="Calibri"/>
                <w:sz w:val="22"/>
                <w:szCs w:val="22"/>
              </w:rPr>
              <w:t>50 180 000</w:t>
            </w:r>
          </w:p>
        </w:tc>
      </w:tr>
      <w:tr w:rsidR="0070760E" w:rsidRPr="005B383F" w14:paraId="51347A3A" w14:textId="77777777" w:rsidTr="0070760E">
        <w:trPr>
          <w:trHeight w:val="696"/>
        </w:trPr>
        <w:tc>
          <w:tcPr>
            <w:tcW w:w="5260" w:type="dxa"/>
            <w:tcBorders>
              <w:top w:val="nil"/>
              <w:left w:val="single" w:sz="12" w:space="0" w:color="auto"/>
              <w:bottom w:val="single" w:sz="12" w:space="0" w:color="auto"/>
              <w:right w:val="single" w:sz="8" w:space="0" w:color="auto"/>
            </w:tcBorders>
            <w:shd w:val="clear" w:color="auto" w:fill="auto"/>
            <w:vAlign w:val="center"/>
            <w:hideMark/>
          </w:tcPr>
          <w:p w14:paraId="51347A35" w14:textId="77777777" w:rsidR="00202815" w:rsidRDefault="0070760E" w:rsidP="005938BB">
            <w:pPr>
              <w:spacing w:line="240" w:lineRule="auto"/>
              <w:rPr>
                <w:rFonts w:ascii="Calibri" w:hAnsi="Calibri"/>
                <w:b/>
                <w:bCs/>
                <w:sz w:val="22"/>
                <w:szCs w:val="22"/>
              </w:rPr>
            </w:pPr>
            <w:r w:rsidRPr="005B383F">
              <w:rPr>
                <w:rFonts w:ascii="Calibri" w:hAnsi="Calibri"/>
                <w:b/>
                <w:bCs/>
                <w:sz w:val="22"/>
                <w:szCs w:val="22"/>
              </w:rPr>
              <w:t>Výdaje spolufinancované zcela nebo částečně</w:t>
            </w:r>
          </w:p>
          <w:p w14:paraId="51347A36" w14:textId="77777777" w:rsidR="0070760E" w:rsidRPr="005B383F" w:rsidRDefault="0070760E" w:rsidP="005938BB">
            <w:pPr>
              <w:spacing w:line="240" w:lineRule="auto"/>
              <w:rPr>
                <w:rFonts w:ascii="Calibri" w:hAnsi="Calibri"/>
                <w:b/>
                <w:bCs/>
                <w:sz w:val="22"/>
                <w:szCs w:val="22"/>
              </w:rPr>
            </w:pPr>
            <w:r w:rsidRPr="005B383F">
              <w:rPr>
                <w:rFonts w:ascii="Calibri" w:hAnsi="Calibri"/>
                <w:b/>
                <w:bCs/>
                <w:sz w:val="22"/>
                <w:szCs w:val="22"/>
              </w:rPr>
              <w:t xml:space="preserve"> z rozpočtu Evropské unie </w:t>
            </w:r>
            <w:r w:rsidR="005B383F" w:rsidRPr="005938BB">
              <w:rPr>
                <w:rFonts w:ascii="Calibri" w:hAnsi="Calibri"/>
                <w:b/>
                <w:bCs/>
                <w:sz w:val="22"/>
                <w:szCs w:val="22"/>
              </w:rPr>
              <w:t>bez</w:t>
            </w:r>
            <w:r w:rsidRPr="005938BB">
              <w:rPr>
                <w:rFonts w:ascii="Calibri" w:hAnsi="Calibri"/>
                <w:b/>
                <w:bCs/>
                <w:sz w:val="22"/>
                <w:szCs w:val="22"/>
              </w:rPr>
              <w:t xml:space="preserve"> společné zemědělské politiky 2014 - 2020</w:t>
            </w:r>
          </w:p>
        </w:tc>
        <w:tc>
          <w:tcPr>
            <w:tcW w:w="1276" w:type="dxa"/>
            <w:tcBorders>
              <w:top w:val="nil"/>
              <w:left w:val="nil"/>
              <w:bottom w:val="single" w:sz="12" w:space="0" w:color="auto"/>
              <w:right w:val="single" w:sz="8" w:space="0" w:color="auto"/>
            </w:tcBorders>
            <w:shd w:val="clear" w:color="auto" w:fill="auto"/>
            <w:vAlign w:val="center"/>
            <w:hideMark/>
          </w:tcPr>
          <w:p w14:paraId="51347A37" w14:textId="77777777" w:rsidR="0070760E" w:rsidRPr="005B383F" w:rsidRDefault="0070760E" w:rsidP="0070760E">
            <w:pPr>
              <w:spacing w:line="240" w:lineRule="auto"/>
              <w:jc w:val="right"/>
              <w:rPr>
                <w:rFonts w:ascii="Calibri" w:hAnsi="Calibri"/>
                <w:b/>
                <w:bCs/>
                <w:sz w:val="22"/>
                <w:szCs w:val="22"/>
              </w:rPr>
            </w:pPr>
            <w:r w:rsidRPr="005B383F">
              <w:rPr>
                <w:rFonts w:ascii="Calibri" w:hAnsi="Calibri"/>
                <w:b/>
                <w:bCs/>
                <w:sz w:val="22"/>
                <w:szCs w:val="22"/>
              </w:rPr>
              <w:t>1 209 334</w:t>
            </w:r>
          </w:p>
        </w:tc>
        <w:tc>
          <w:tcPr>
            <w:tcW w:w="1417" w:type="dxa"/>
            <w:tcBorders>
              <w:top w:val="nil"/>
              <w:left w:val="nil"/>
              <w:bottom w:val="single" w:sz="12" w:space="0" w:color="auto"/>
              <w:right w:val="single" w:sz="8" w:space="0" w:color="auto"/>
            </w:tcBorders>
            <w:shd w:val="clear" w:color="auto" w:fill="auto"/>
            <w:noWrap/>
            <w:vAlign w:val="center"/>
            <w:hideMark/>
          </w:tcPr>
          <w:p w14:paraId="51347A38" w14:textId="77777777" w:rsidR="0070760E" w:rsidRPr="005B383F" w:rsidRDefault="0070760E" w:rsidP="0070760E">
            <w:pPr>
              <w:spacing w:line="240" w:lineRule="auto"/>
              <w:jc w:val="right"/>
              <w:rPr>
                <w:rFonts w:ascii="Calibri" w:hAnsi="Calibri"/>
                <w:b/>
                <w:bCs/>
                <w:sz w:val="22"/>
                <w:szCs w:val="22"/>
              </w:rPr>
            </w:pPr>
            <w:r w:rsidRPr="005B383F">
              <w:rPr>
                <w:rFonts w:ascii="Calibri" w:hAnsi="Calibri"/>
                <w:b/>
                <w:bCs/>
                <w:sz w:val="22"/>
                <w:szCs w:val="22"/>
              </w:rPr>
              <w:t>50 180 000</w:t>
            </w:r>
          </w:p>
        </w:tc>
        <w:tc>
          <w:tcPr>
            <w:tcW w:w="1276" w:type="dxa"/>
            <w:tcBorders>
              <w:top w:val="nil"/>
              <w:left w:val="nil"/>
              <w:bottom w:val="single" w:sz="12" w:space="0" w:color="auto"/>
              <w:right w:val="single" w:sz="12" w:space="0" w:color="auto"/>
            </w:tcBorders>
            <w:shd w:val="clear" w:color="auto" w:fill="auto"/>
            <w:noWrap/>
            <w:vAlign w:val="center"/>
            <w:hideMark/>
          </w:tcPr>
          <w:p w14:paraId="51347A39" w14:textId="77777777" w:rsidR="0070760E" w:rsidRPr="005B383F" w:rsidRDefault="0070760E" w:rsidP="0070760E">
            <w:pPr>
              <w:spacing w:line="240" w:lineRule="auto"/>
              <w:jc w:val="right"/>
              <w:rPr>
                <w:rFonts w:ascii="Calibri" w:hAnsi="Calibri"/>
                <w:b/>
                <w:bCs/>
                <w:sz w:val="22"/>
                <w:szCs w:val="22"/>
              </w:rPr>
            </w:pPr>
            <w:r w:rsidRPr="005B383F">
              <w:rPr>
                <w:rFonts w:ascii="Calibri" w:hAnsi="Calibri"/>
                <w:b/>
                <w:bCs/>
                <w:sz w:val="22"/>
                <w:szCs w:val="22"/>
              </w:rPr>
              <w:t>48 970 666</w:t>
            </w:r>
          </w:p>
        </w:tc>
      </w:tr>
    </w:tbl>
    <w:p w14:paraId="51347A3B" w14:textId="77777777" w:rsidR="0070760E" w:rsidRPr="005B383F" w:rsidRDefault="0070760E" w:rsidP="000F060D">
      <w:pPr>
        <w:rPr>
          <w:rFonts w:ascii="Times New Roman" w:hAnsi="Times New Roman"/>
          <w:lang w:eastAsia="en-US"/>
        </w:rPr>
      </w:pPr>
    </w:p>
    <w:p w14:paraId="51347A3C" w14:textId="77777777" w:rsidR="00CC5CCC" w:rsidRPr="005B383F" w:rsidRDefault="0070256C" w:rsidP="006E191D">
      <w:pPr>
        <w:spacing w:before="120" w:line="240" w:lineRule="auto"/>
        <w:rPr>
          <w:rFonts w:ascii="Times New Roman" w:hAnsi="Times New Roman"/>
        </w:rPr>
      </w:pPr>
      <w:r w:rsidRPr="005B383F">
        <w:rPr>
          <w:rFonts w:ascii="Times New Roman" w:hAnsi="Times New Roman"/>
        </w:rPr>
        <w:t>Ukazatel „Neinvestiční výdaje na projekty spolufinancované EU bez SZP“ je součástí bloku „Výdaje na zabezpečení plnění úkolů Ministerstva kultury“ a ostatní ukazatele, resp. podprogramy (</w:t>
      </w:r>
      <w:r w:rsidR="00FC7E0A" w:rsidRPr="005B383F">
        <w:rPr>
          <w:rFonts w:ascii="Times New Roman" w:hAnsi="Times New Roman"/>
        </w:rPr>
        <w:t>134711, 134712 a 134713</w:t>
      </w:r>
      <w:r w:rsidRPr="005B383F">
        <w:rPr>
          <w:rFonts w:ascii="Times New Roman" w:hAnsi="Times New Roman"/>
        </w:rPr>
        <w:t>), jsou obsaženy v bloku „Příspěvkové organizace zřízené Ministerstvem kultury“, v okruhu „</w:t>
      </w:r>
      <w:r w:rsidR="00FC7E0A" w:rsidRPr="005B383F">
        <w:rPr>
          <w:rFonts w:ascii="Times New Roman" w:hAnsi="Times New Roman"/>
        </w:rPr>
        <w:t>Kulturní dědictví ve vlastnictví státu, podporované evropskými fondy</w:t>
      </w:r>
      <w:r w:rsidRPr="005B383F">
        <w:rPr>
          <w:rFonts w:ascii="Times New Roman" w:hAnsi="Times New Roman"/>
        </w:rPr>
        <w:t>“.</w:t>
      </w:r>
      <w:r w:rsidR="002621F3" w:rsidRPr="005B383F">
        <w:rPr>
          <w:rFonts w:ascii="Times New Roman" w:hAnsi="Times New Roman"/>
        </w:rPr>
        <w:t xml:space="preserve"> V ukazateli „Neinvestiční výdaje na projekty spolufinancované EU bez</w:t>
      </w:r>
      <w:r w:rsidR="00664560" w:rsidRPr="005B383F">
        <w:rPr>
          <w:rFonts w:ascii="Times New Roman" w:hAnsi="Times New Roman"/>
        </w:rPr>
        <w:t> </w:t>
      </w:r>
      <w:r w:rsidR="002621F3" w:rsidRPr="005B383F">
        <w:rPr>
          <w:rFonts w:ascii="Times New Roman" w:hAnsi="Times New Roman"/>
        </w:rPr>
        <w:t xml:space="preserve">SZP“ nejsou pro rok 2016 požadovány finanční prostředky. </w:t>
      </w:r>
      <w:r w:rsidRPr="005B383F">
        <w:rPr>
          <w:rFonts w:ascii="Times New Roman" w:hAnsi="Times New Roman"/>
        </w:rPr>
        <w:t xml:space="preserve">Prostředky na rok 2016 jsou </w:t>
      </w:r>
      <w:r w:rsidR="000F771B" w:rsidRPr="005B383F">
        <w:rPr>
          <w:rFonts w:ascii="Times New Roman" w:hAnsi="Times New Roman"/>
        </w:rPr>
        <w:t>uvedeny</w:t>
      </w:r>
      <w:r w:rsidR="00FC7E0A" w:rsidRPr="005B383F">
        <w:rPr>
          <w:rFonts w:ascii="Times New Roman" w:hAnsi="Times New Roman"/>
        </w:rPr>
        <w:t xml:space="preserve"> </w:t>
      </w:r>
      <w:r w:rsidR="002621F3" w:rsidRPr="005B383F">
        <w:rPr>
          <w:rFonts w:ascii="Times New Roman" w:hAnsi="Times New Roman"/>
        </w:rPr>
        <w:t xml:space="preserve">v ukazateli „Kulturní dědictví ve vlastnictví státu, podporované evropskými fondy“ </w:t>
      </w:r>
      <w:r w:rsidR="00FC7E0A" w:rsidRPr="005B383F">
        <w:rPr>
          <w:rFonts w:ascii="Times New Roman" w:hAnsi="Times New Roman"/>
        </w:rPr>
        <w:t xml:space="preserve">ve výši </w:t>
      </w:r>
      <w:r w:rsidR="0070760E" w:rsidRPr="005B383F">
        <w:rPr>
          <w:rFonts w:ascii="Times New Roman" w:hAnsi="Times New Roman"/>
        </w:rPr>
        <w:t>50</w:t>
      </w:r>
      <w:r w:rsidR="00A52EE8" w:rsidRPr="005B383F">
        <w:rPr>
          <w:rFonts w:ascii="Times New Roman" w:hAnsi="Times New Roman"/>
        </w:rPr>
        <w:t xml:space="preserve"> 180</w:t>
      </w:r>
      <w:r w:rsidR="00704770" w:rsidRPr="005B383F">
        <w:rPr>
          <w:rFonts w:ascii="Times New Roman" w:hAnsi="Times New Roman"/>
        </w:rPr>
        <w:t xml:space="preserve"> 000 Kč.</w:t>
      </w:r>
      <w:r w:rsidR="000B2BD3" w:rsidRPr="005B383F">
        <w:rPr>
          <w:rFonts w:ascii="Times New Roman" w:hAnsi="Times New Roman"/>
        </w:rPr>
        <w:t xml:space="preserve"> Pro </w:t>
      </w:r>
      <w:r w:rsidR="005B383F" w:rsidRPr="005B383F">
        <w:rPr>
          <w:rFonts w:ascii="Times New Roman" w:hAnsi="Times New Roman"/>
        </w:rPr>
        <w:t>Ministerstv</w:t>
      </w:r>
      <w:r w:rsidR="005B383F">
        <w:rPr>
          <w:rFonts w:ascii="Times New Roman" w:hAnsi="Times New Roman"/>
        </w:rPr>
        <w:t>o</w:t>
      </w:r>
      <w:r w:rsidR="005B383F" w:rsidRPr="005B383F">
        <w:rPr>
          <w:rFonts w:ascii="Times New Roman" w:hAnsi="Times New Roman"/>
        </w:rPr>
        <w:t xml:space="preserve"> kultury</w:t>
      </w:r>
      <w:r w:rsidR="000B2BD3" w:rsidRPr="005B383F">
        <w:rPr>
          <w:rFonts w:ascii="Times New Roman" w:hAnsi="Times New Roman"/>
        </w:rPr>
        <w:t xml:space="preserve"> a příspěvkové organizace </w:t>
      </w:r>
      <w:r w:rsidR="005B383F" w:rsidRPr="005B383F">
        <w:rPr>
          <w:rFonts w:ascii="Times New Roman" w:hAnsi="Times New Roman"/>
        </w:rPr>
        <w:t>Ministerstva kultury</w:t>
      </w:r>
      <w:r w:rsidR="000B2BD3" w:rsidRPr="005B383F">
        <w:rPr>
          <w:rFonts w:ascii="Times New Roman" w:hAnsi="Times New Roman"/>
        </w:rPr>
        <w:t xml:space="preserve"> je uvažováno v programovém období 2014 – 2020 s čerpáním finančních prostředků z Integrovaného regionálního operačního programu (IROP), a to ze specifického cíle 3.1 Zefektivnění prezentace, posílení ochrany a rozvoje kulturního dědictví</w:t>
      </w:r>
      <w:r w:rsidR="00116A5A" w:rsidRPr="005B383F">
        <w:rPr>
          <w:rFonts w:ascii="Times New Roman" w:hAnsi="Times New Roman"/>
        </w:rPr>
        <w:t xml:space="preserve"> (podprogram 134711)</w:t>
      </w:r>
      <w:r w:rsidR="000B2BD3" w:rsidRPr="005B383F">
        <w:rPr>
          <w:rFonts w:ascii="Times New Roman" w:hAnsi="Times New Roman"/>
        </w:rPr>
        <w:t xml:space="preserve"> a ze specifického cíle 3.2 Zvyšování efektivity a transparentnosti veřejné správy prostřednictvím rozvoje využití a kvality systémů IKT</w:t>
      </w:r>
      <w:r w:rsidR="00116A5A" w:rsidRPr="005B383F">
        <w:rPr>
          <w:rFonts w:ascii="Times New Roman" w:hAnsi="Times New Roman"/>
        </w:rPr>
        <w:t xml:space="preserve"> (podprogram 134712)</w:t>
      </w:r>
      <w:r w:rsidR="000B2BD3" w:rsidRPr="005B383F">
        <w:rPr>
          <w:rFonts w:ascii="Times New Roman" w:hAnsi="Times New Roman"/>
        </w:rPr>
        <w:t xml:space="preserve"> a dále z Operačního programu zaměstnanost (OP Z) – prioritní osa 4 Efektivní veřejná správa</w:t>
      </w:r>
      <w:r w:rsidR="00116A5A" w:rsidRPr="005B383F">
        <w:rPr>
          <w:rFonts w:ascii="Times New Roman" w:hAnsi="Times New Roman"/>
        </w:rPr>
        <w:t xml:space="preserve"> (podprogram 134713)</w:t>
      </w:r>
      <w:r w:rsidR="000B2BD3" w:rsidRPr="005B383F">
        <w:rPr>
          <w:rFonts w:ascii="Times New Roman" w:hAnsi="Times New Roman"/>
        </w:rPr>
        <w:t xml:space="preserve">. V propočtech jsme vycházeli z podkladů: Míry spolufinancování jednotlivých SC IROP a OP Z pro </w:t>
      </w:r>
      <w:r w:rsidR="00DB5502" w:rsidRPr="005B383F">
        <w:rPr>
          <w:rFonts w:ascii="Times New Roman" w:hAnsi="Times New Roman"/>
        </w:rPr>
        <w:t xml:space="preserve">příspěvkové organizace </w:t>
      </w:r>
      <w:r w:rsidR="005B383F" w:rsidRPr="005B383F">
        <w:rPr>
          <w:rFonts w:ascii="Times New Roman" w:hAnsi="Times New Roman"/>
        </w:rPr>
        <w:t>Ministerstva kultury</w:t>
      </w:r>
      <w:r w:rsidR="000B2BD3" w:rsidRPr="005B383F">
        <w:rPr>
          <w:rFonts w:ascii="Times New Roman" w:hAnsi="Times New Roman"/>
        </w:rPr>
        <w:t xml:space="preserve"> </w:t>
      </w:r>
      <w:r w:rsidR="005938BB" w:rsidRPr="00C151FE">
        <w:rPr>
          <w:rFonts w:ascii="Times New Roman" w:hAnsi="Times New Roman"/>
        </w:rPr>
        <w:br/>
      </w:r>
      <w:r w:rsidR="000B2BD3" w:rsidRPr="005B383F">
        <w:rPr>
          <w:rFonts w:ascii="Times New Roman" w:hAnsi="Times New Roman"/>
        </w:rPr>
        <w:t>a předložených projektových záměrů s předpokladem úspěšnosti.</w:t>
      </w:r>
      <w:r w:rsidR="000C3254" w:rsidRPr="005B383F">
        <w:rPr>
          <w:rFonts w:ascii="Times New Roman" w:hAnsi="Times New Roman"/>
        </w:rPr>
        <w:t xml:space="preserve"> </w:t>
      </w:r>
    </w:p>
    <w:p w14:paraId="51347A3D" w14:textId="77777777" w:rsidR="005A1F85" w:rsidRPr="005B383F" w:rsidRDefault="00E83065" w:rsidP="006E191D">
      <w:pPr>
        <w:spacing w:before="120" w:line="240" w:lineRule="auto"/>
        <w:rPr>
          <w:rFonts w:ascii="Times New Roman" w:hAnsi="Times New Roman"/>
          <w:b/>
          <w:sz w:val="26"/>
          <w:szCs w:val="26"/>
        </w:rPr>
      </w:pPr>
      <w:r w:rsidRPr="005B383F">
        <w:rPr>
          <w:rFonts w:ascii="Times New Roman" w:hAnsi="Times New Roman"/>
          <w:b/>
          <w:sz w:val="26"/>
          <w:szCs w:val="26"/>
        </w:rPr>
        <w:t>Rekapitulace:</w:t>
      </w:r>
    </w:p>
    <w:p w14:paraId="51347A3E" w14:textId="77777777" w:rsidR="005A1F85" w:rsidRPr="005B383F" w:rsidRDefault="005A1F85" w:rsidP="005A1F85">
      <w:pPr>
        <w:spacing w:before="120" w:line="240" w:lineRule="auto"/>
        <w:rPr>
          <w:rFonts w:ascii="Times New Roman" w:hAnsi="Times New Roman"/>
          <w:b/>
        </w:rPr>
      </w:pPr>
      <w:r w:rsidRPr="005B383F">
        <w:rPr>
          <w:rFonts w:ascii="Times New Roman" w:hAnsi="Times New Roman"/>
          <w:b/>
        </w:rPr>
        <w:t>Neinvestiční výdaje na projekty spolufinancované z rozpočtu Evropské unie</w:t>
      </w:r>
      <w:r w:rsidRPr="005B383F">
        <w:rPr>
          <w:rFonts w:ascii="Times New Roman" w:hAnsi="Times New Roman"/>
          <w:b/>
        </w:rPr>
        <w:tab/>
      </w:r>
      <w:r w:rsidRPr="005B383F">
        <w:rPr>
          <w:rFonts w:ascii="Times New Roman" w:hAnsi="Times New Roman"/>
          <w:b/>
        </w:rPr>
        <w:tab/>
      </w:r>
      <w:r w:rsidR="00397983" w:rsidRPr="005B383F">
        <w:rPr>
          <w:rFonts w:ascii="Times New Roman" w:hAnsi="Times New Roman"/>
          <w:b/>
        </w:rPr>
        <w:t> </w:t>
      </w:r>
      <w:r w:rsidRPr="005B383F">
        <w:rPr>
          <w:rFonts w:ascii="Times New Roman" w:hAnsi="Times New Roman"/>
          <w:b/>
        </w:rPr>
        <w:t>0</w:t>
      </w:r>
      <w:r w:rsidR="00397983" w:rsidRPr="005B383F">
        <w:rPr>
          <w:rFonts w:ascii="Times New Roman" w:hAnsi="Times New Roman"/>
          <w:b/>
        </w:rPr>
        <w:t> </w:t>
      </w:r>
      <w:r w:rsidRPr="005B383F">
        <w:rPr>
          <w:rFonts w:ascii="Times New Roman" w:hAnsi="Times New Roman"/>
          <w:b/>
        </w:rPr>
        <w:t>Kč</w:t>
      </w:r>
    </w:p>
    <w:p w14:paraId="51347A3F" w14:textId="77777777" w:rsidR="005A1F85" w:rsidRPr="005B383F" w:rsidRDefault="005A1F85" w:rsidP="005A1F85">
      <w:pPr>
        <w:pStyle w:val="Zhlav"/>
        <w:spacing w:before="120"/>
        <w:rPr>
          <w:rFonts w:ascii="Times New Roman" w:hAnsi="Times New Roman"/>
        </w:rPr>
      </w:pPr>
      <w:r w:rsidRPr="005B383F">
        <w:rPr>
          <w:rFonts w:ascii="Times New Roman" w:hAnsi="Times New Roman"/>
        </w:rPr>
        <w:t>Prostředky na neinvestiční výdaje na projekty spolufinancované z rozpočtu Evropské unie nejsou požadovány, jedná se o projekty končícího programového období:</w:t>
      </w:r>
    </w:p>
    <w:p w14:paraId="51347A40" w14:textId="77777777" w:rsidR="005A1F85" w:rsidRPr="005B383F" w:rsidRDefault="005A1F85" w:rsidP="005A1F85">
      <w:pPr>
        <w:spacing w:line="240" w:lineRule="auto"/>
        <w:rPr>
          <w:rFonts w:ascii="Times New Roman" w:hAnsi="Times New Roman"/>
        </w:rPr>
      </w:pPr>
      <w:r w:rsidRPr="005B383F">
        <w:rPr>
          <w:rFonts w:ascii="Times New Roman" w:hAnsi="Times New Roman"/>
        </w:rPr>
        <w:t>ESF – Lidské zdroje a zaměstnanost</w:t>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00397983" w:rsidRPr="005B383F">
        <w:rPr>
          <w:rFonts w:ascii="Times New Roman" w:hAnsi="Times New Roman"/>
        </w:rPr>
        <w:t> </w:t>
      </w:r>
      <w:r w:rsidRPr="005B383F">
        <w:rPr>
          <w:rFonts w:ascii="Times New Roman" w:hAnsi="Times New Roman"/>
        </w:rPr>
        <w:t>0</w:t>
      </w:r>
      <w:r w:rsidR="00397983" w:rsidRPr="005B383F">
        <w:rPr>
          <w:rFonts w:ascii="Times New Roman" w:hAnsi="Times New Roman"/>
        </w:rPr>
        <w:t> </w:t>
      </w:r>
      <w:r w:rsidRPr="005B383F">
        <w:rPr>
          <w:rFonts w:ascii="Times New Roman" w:hAnsi="Times New Roman"/>
        </w:rPr>
        <w:t>Kč</w:t>
      </w:r>
    </w:p>
    <w:p w14:paraId="51347A41" w14:textId="77777777" w:rsidR="00397983" w:rsidRPr="005B383F" w:rsidRDefault="005A1F85" w:rsidP="00397983">
      <w:pPr>
        <w:spacing w:line="240" w:lineRule="auto"/>
        <w:rPr>
          <w:rFonts w:ascii="Times New Roman" w:hAnsi="Times New Roman"/>
        </w:rPr>
      </w:pPr>
      <w:r w:rsidRPr="005B383F">
        <w:rPr>
          <w:rFonts w:ascii="Times New Roman" w:hAnsi="Times New Roman"/>
        </w:rPr>
        <w:t xml:space="preserve">ERDF – Rozvoj informační společnosti ve veřejné správě </w:t>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00397983" w:rsidRPr="005B383F">
        <w:rPr>
          <w:rFonts w:ascii="Times New Roman" w:hAnsi="Times New Roman"/>
        </w:rPr>
        <w:t> 0 Kč</w:t>
      </w:r>
    </w:p>
    <w:p w14:paraId="51347A42" w14:textId="77777777" w:rsidR="00397983" w:rsidRPr="005B383F" w:rsidRDefault="005A1F85" w:rsidP="00397983">
      <w:pPr>
        <w:spacing w:line="240" w:lineRule="auto"/>
        <w:rPr>
          <w:rFonts w:ascii="Times New Roman" w:hAnsi="Times New Roman"/>
        </w:rPr>
      </w:pPr>
      <w:r w:rsidRPr="005B383F">
        <w:rPr>
          <w:rFonts w:ascii="Times New Roman" w:hAnsi="Times New Roman"/>
        </w:rPr>
        <w:t>ESF - Operační program Vzdělávání pro konkurenceschopnost</w:t>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00397983" w:rsidRPr="005B383F">
        <w:rPr>
          <w:rFonts w:ascii="Times New Roman" w:hAnsi="Times New Roman"/>
        </w:rPr>
        <w:t> 0 Kč</w:t>
      </w:r>
    </w:p>
    <w:p w14:paraId="51347A43" w14:textId="77777777" w:rsidR="00397983" w:rsidRPr="005B383F" w:rsidRDefault="005B383F" w:rsidP="005B383F">
      <w:pPr>
        <w:spacing w:before="120" w:line="240" w:lineRule="auto"/>
        <w:rPr>
          <w:rFonts w:ascii="Times New Roman" w:hAnsi="Times New Roman"/>
          <w:b/>
        </w:rPr>
      </w:pPr>
      <w:r>
        <w:rPr>
          <w:rFonts w:ascii="Times New Roman" w:hAnsi="Times New Roman"/>
          <w:b/>
        </w:rPr>
        <w:t>R</w:t>
      </w:r>
      <w:r w:rsidR="005A1F85" w:rsidRPr="005B383F">
        <w:rPr>
          <w:rFonts w:ascii="Times New Roman" w:hAnsi="Times New Roman"/>
          <w:b/>
        </w:rPr>
        <w:t>ozvoj a obnova materiálně technické základny státních kulturních zařízení</w:t>
      </w:r>
      <w:r w:rsidR="005A1F85" w:rsidRPr="005B383F">
        <w:rPr>
          <w:rFonts w:ascii="Times New Roman" w:hAnsi="Times New Roman"/>
          <w:b/>
        </w:rPr>
        <w:tab/>
      </w:r>
      <w:r w:rsidR="00397983" w:rsidRPr="005B383F">
        <w:rPr>
          <w:rFonts w:ascii="Times New Roman" w:hAnsi="Times New Roman"/>
          <w:b/>
        </w:rPr>
        <w:t> 0 Kč</w:t>
      </w:r>
    </w:p>
    <w:p w14:paraId="51347A44" w14:textId="77777777" w:rsidR="00397983" w:rsidRPr="005B383F" w:rsidRDefault="00E83065" w:rsidP="005B383F">
      <w:pPr>
        <w:spacing w:before="120" w:line="240" w:lineRule="auto"/>
        <w:rPr>
          <w:rFonts w:ascii="Times New Roman" w:hAnsi="Times New Roman"/>
        </w:rPr>
      </w:pPr>
      <w:r w:rsidRPr="005B383F">
        <w:rPr>
          <w:rFonts w:ascii="Times New Roman" w:hAnsi="Times New Roman"/>
        </w:rPr>
        <w:t>Národní podpora využití potenciálu kulturního dědictví a technická pomoc IOP</w:t>
      </w:r>
      <w:r w:rsidRPr="005B383F">
        <w:rPr>
          <w:rFonts w:ascii="Times New Roman" w:hAnsi="Times New Roman"/>
        </w:rPr>
        <w:tab/>
      </w:r>
      <w:r w:rsidRPr="005B383F">
        <w:rPr>
          <w:rFonts w:ascii="Times New Roman" w:hAnsi="Times New Roman"/>
        </w:rPr>
        <w:tab/>
      </w:r>
      <w:r w:rsidR="00397983" w:rsidRPr="005B383F">
        <w:rPr>
          <w:rFonts w:ascii="Times New Roman" w:hAnsi="Times New Roman"/>
        </w:rPr>
        <w:t> 0 Kč</w:t>
      </w:r>
    </w:p>
    <w:p w14:paraId="51347A45" w14:textId="77777777" w:rsidR="00397983" w:rsidRPr="005B383F" w:rsidRDefault="00E83065" w:rsidP="00397983">
      <w:pPr>
        <w:spacing w:line="240" w:lineRule="auto"/>
        <w:rPr>
          <w:rFonts w:ascii="Times New Roman" w:hAnsi="Times New Roman"/>
        </w:rPr>
      </w:pPr>
      <w:r w:rsidRPr="005B383F">
        <w:rPr>
          <w:rFonts w:ascii="Times New Roman" w:hAnsi="Times New Roman"/>
        </w:rPr>
        <w:t>Rozvoj informační společnosti ve veřejné správě – ERDF</w:t>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00397983" w:rsidRPr="005B383F">
        <w:rPr>
          <w:rFonts w:ascii="Times New Roman" w:hAnsi="Times New Roman"/>
        </w:rPr>
        <w:t> 0 Kč</w:t>
      </w:r>
    </w:p>
    <w:p w14:paraId="51347A46" w14:textId="77777777" w:rsidR="00E83065" w:rsidRPr="005B383F" w:rsidRDefault="00E83065" w:rsidP="005A1F85">
      <w:pPr>
        <w:spacing w:line="240" w:lineRule="auto"/>
        <w:rPr>
          <w:rFonts w:ascii="Times New Roman" w:hAnsi="Times New Roman"/>
        </w:rPr>
      </w:pPr>
      <w:r w:rsidRPr="005B383F">
        <w:rPr>
          <w:rFonts w:ascii="Times New Roman" w:hAnsi="Times New Roman"/>
        </w:rPr>
        <w:t>Operační program životní prostředí</w:t>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Pr="005B383F">
        <w:rPr>
          <w:rFonts w:ascii="Times New Roman" w:hAnsi="Times New Roman"/>
        </w:rPr>
        <w:tab/>
      </w:r>
      <w:r w:rsidR="00397983" w:rsidRPr="005B383F">
        <w:rPr>
          <w:rFonts w:ascii="Times New Roman" w:hAnsi="Times New Roman"/>
        </w:rPr>
        <w:t> </w:t>
      </w:r>
      <w:r w:rsidRPr="005B383F">
        <w:rPr>
          <w:rFonts w:ascii="Times New Roman" w:hAnsi="Times New Roman"/>
        </w:rPr>
        <w:t>0</w:t>
      </w:r>
      <w:r w:rsidR="00397983" w:rsidRPr="005B383F">
        <w:rPr>
          <w:rFonts w:ascii="Times New Roman" w:hAnsi="Times New Roman"/>
        </w:rPr>
        <w:t> </w:t>
      </w:r>
      <w:r w:rsidRPr="005B383F">
        <w:rPr>
          <w:rFonts w:ascii="Times New Roman" w:hAnsi="Times New Roman"/>
        </w:rPr>
        <w:t>Kč</w:t>
      </w:r>
    </w:p>
    <w:p w14:paraId="51347A47" w14:textId="77777777" w:rsidR="00202815" w:rsidRDefault="00202815">
      <w:pPr>
        <w:spacing w:after="200"/>
        <w:jc w:val="left"/>
        <w:rPr>
          <w:rFonts w:ascii="Times New Roman" w:hAnsi="Times New Roman"/>
          <w:b/>
        </w:rPr>
      </w:pPr>
      <w:r>
        <w:rPr>
          <w:rFonts w:ascii="Times New Roman" w:hAnsi="Times New Roman"/>
          <w:b/>
        </w:rPr>
        <w:br w:type="page"/>
      </w:r>
    </w:p>
    <w:p w14:paraId="51347A48" w14:textId="77777777" w:rsidR="00E83065" w:rsidRPr="005B383F" w:rsidRDefault="00E83065" w:rsidP="005B383F">
      <w:pPr>
        <w:spacing w:before="120"/>
        <w:ind w:left="709" w:hanging="709"/>
        <w:jc w:val="left"/>
        <w:rPr>
          <w:rFonts w:ascii="Times New Roman" w:hAnsi="Times New Roman"/>
          <w:b/>
        </w:rPr>
      </w:pPr>
      <w:r w:rsidRPr="005B383F">
        <w:rPr>
          <w:rFonts w:ascii="Times New Roman" w:hAnsi="Times New Roman"/>
          <w:b/>
        </w:rPr>
        <w:lastRenderedPageBreak/>
        <w:t>Kulturní dědictví ve vlastnictví státu podporované evropskými fondy</w:t>
      </w:r>
      <w:r w:rsidRPr="005B383F">
        <w:rPr>
          <w:rFonts w:ascii="Times New Roman" w:hAnsi="Times New Roman"/>
          <w:b/>
        </w:rPr>
        <w:tab/>
        <w:t>     </w:t>
      </w:r>
      <w:r w:rsidR="00397983" w:rsidRPr="005B383F">
        <w:rPr>
          <w:rFonts w:ascii="Times New Roman" w:hAnsi="Times New Roman"/>
          <w:b/>
        </w:rPr>
        <w:t>    </w:t>
      </w:r>
      <w:r w:rsidR="0070760E" w:rsidRPr="005B383F">
        <w:rPr>
          <w:rFonts w:ascii="Times New Roman" w:hAnsi="Times New Roman"/>
          <w:b/>
        </w:rPr>
        <w:t>50</w:t>
      </w:r>
      <w:r w:rsidRPr="005B383F">
        <w:rPr>
          <w:rFonts w:ascii="Times New Roman" w:hAnsi="Times New Roman"/>
          <w:b/>
        </w:rPr>
        <w:t xml:space="preserve"> 180</w:t>
      </w:r>
      <w:r w:rsidR="00397983" w:rsidRPr="005B383F">
        <w:rPr>
          <w:rFonts w:ascii="Times New Roman" w:hAnsi="Times New Roman"/>
          <w:b/>
        </w:rPr>
        <w:t> </w:t>
      </w:r>
      <w:r w:rsidRPr="005B383F">
        <w:rPr>
          <w:rFonts w:ascii="Times New Roman" w:hAnsi="Times New Roman"/>
          <w:b/>
        </w:rPr>
        <w:t>000</w:t>
      </w:r>
      <w:r w:rsidR="00397983" w:rsidRPr="005B383F">
        <w:rPr>
          <w:rFonts w:ascii="Times New Roman" w:hAnsi="Times New Roman"/>
          <w:b/>
        </w:rPr>
        <w:t> </w:t>
      </w:r>
      <w:r w:rsidRPr="005B383F">
        <w:rPr>
          <w:rFonts w:ascii="Times New Roman" w:hAnsi="Times New Roman"/>
          <w:b/>
        </w:rPr>
        <w:t>Kč</w:t>
      </w:r>
    </w:p>
    <w:p w14:paraId="51347A49" w14:textId="77777777" w:rsidR="00E83065" w:rsidRPr="005B383F" w:rsidRDefault="00E83065" w:rsidP="00E83065">
      <w:pPr>
        <w:spacing w:before="120" w:line="240" w:lineRule="auto"/>
        <w:rPr>
          <w:rFonts w:ascii="Times New Roman" w:hAnsi="Times New Roman"/>
        </w:rPr>
      </w:pPr>
      <w:r w:rsidRPr="005B383F">
        <w:rPr>
          <w:rFonts w:ascii="Times New Roman" w:hAnsi="Times New Roman"/>
        </w:rPr>
        <w:t>V tomto programu jsou vedeny 3 podprogramy, týkající se nového programového období 2014 – 2020.</w:t>
      </w:r>
    </w:p>
    <w:p w14:paraId="51347A4A" w14:textId="77777777" w:rsidR="00E83065" w:rsidRPr="00033A68" w:rsidRDefault="00E83065" w:rsidP="005B383F">
      <w:pPr>
        <w:spacing w:before="120" w:line="240" w:lineRule="auto"/>
        <w:rPr>
          <w:rFonts w:ascii="Times New Roman" w:hAnsi="Times New Roman"/>
        </w:rPr>
      </w:pPr>
      <w:r w:rsidRPr="005B383F">
        <w:rPr>
          <w:rFonts w:ascii="Times New Roman" w:hAnsi="Times New Roman"/>
        </w:rPr>
        <w:t xml:space="preserve">Pro </w:t>
      </w:r>
      <w:r w:rsidR="005B383F" w:rsidRPr="005B383F">
        <w:rPr>
          <w:rFonts w:ascii="Times New Roman" w:hAnsi="Times New Roman"/>
        </w:rPr>
        <w:t>Ministerstv</w:t>
      </w:r>
      <w:r w:rsidR="005B383F">
        <w:rPr>
          <w:rFonts w:ascii="Times New Roman" w:hAnsi="Times New Roman"/>
        </w:rPr>
        <w:t>o</w:t>
      </w:r>
      <w:r w:rsidR="005B383F" w:rsidRPr="005B383F">
        <w:rPr>
          <w:rFonts w:ascii="Times New Roman" w:hAnsi="Times New Roman"/>
        </w:rPr>
        <w:t xml:space="preserve"> kultury</w:t>
      </w:r>
      <w:r w:rsidRPr="005B383F">
        <w:rPr>
          <w:rFonts w:ascii="Times New Roman" w:hAnsi="Times New Roman"/>
        </w:rPr>
        <w:t xml:space="preserve"> a příspěvkové organizace </w:t>
      </w:r>
      <w:r w:rsidR="005B383F" w:rsidRPr="005B383F">
        <w:rPr>
          <w:rFonts w:ascii="Times New Roman" w:hAnsi="Times New Roman"/>
        </w:rPr>
        <w:t>Ministerstva kultury</w:t>
      </w:r>
      <w:r w:rsidRPr="005B383F">
        <w:rPr>
          <w:rFonts w:ascii="Times New Roman" w:hAnsi="Times New Roman"/>
        </w:rPr>
        <w:t xml:space="preserve"> je uvažováno v programovém období 2014 – 2020 s čerpáním finančních prostředků z Integrovaného regionálního operačního programu (IROP) – prioritní osa – prioritní osa, specifický cíl 3.1 Zefektivnění prezentace, posílení ochrany a rozvoje kulturního dědictví a specifický cíl 3.2 Zvyšování efektivity a transparentnosti veřejné správy prostřednictvím rozvoje využití a</w:t>
      </w:r>
      <w:r w:rsidR="005B383F">
        <w:rPr>
          <w:rFonts w:ascii="Times New Roman" w:hAnsi="Times New Roman"/>
        </w:rPr>
        <w:t> </w:t>
      </w:r>
      <w:r w:rsidRPr="005B383F">
        <w:rPr>
          <w:rFonts w:ascii="Times New Roman" w:hAnsi="Times New Roman"/>
        </w:rPr>
        <w:t>kvality systémů informačních a komunikačních technologií a dále z Operačního programu zaměstnanost (OP Z) – prioritní osa 4 Efektivní veřejná správa, specifický cíl (SC) 4.1.1 Optimalizovat procesy a postupy ve veřejné správě zejména prostřednictvím posílení strategického řízení organizací, zvýšení kvality jejich fungování a snížení administrativní zátěže a specifický cíl 4.1.2 Profesionalizovat veřejnou správu zejména prostřednictvím zvyšování znalostí a dovedností jejích pracovníků, rozvoje politik a strategií v oblasti, lidských zdrojů a implementace služebního zákona. V propočtech jsme vycházeli z podkladů: Míra spolufinancování jednotlivých SC IROP a OP Z pro organizační složky státu (MKČR) a</w:t>
      </w:r>
      <w:r w:rsidR="005B383F">
        <w:rPr>
          <w:rFonts w:ascii="Times New Roman" w:hAnsi="Times New Roman"/>
        </w:rPr>
        <w:t> </w:t>
      </w:r>
      <w:r w:rsidRPr="005B383F">
        <w:rPr>
          <w:rFonts w:ascii="Times New Roman" w:hAnsi="Times New Roman"/>
        </w:rPr>
        <w:t>předložených projektových záměrů s předpokladem úspěšnosti. Podíl rozpočtu Evropské unie bude předmětem souvztažného navýšení příjm</w:t>
      </w:r>
      <w:r w:rsidR="005B383F">
        <w:rPr>
          <w:rFonts w:ascii="Times New Roman" w:hAnsi="Times New Roman"/>
        </w:rPr>
        <w:t>ů a výdajů v průběhu roku 2016.</w:t>
      </w:r>
    </w:p>
    <w:p w14:paraId="51347A4B" w14:textId="77777777" w:rsidR="00E83065" w:rsidRPr="005B383F" w:rsidRDefault="00E83065" w:rsidP="005B383F">
      <w:pPr>
        <w:spacing w:before="120" w:line="240" w:lineRule="auto"/>
        <w:rPr>
          <w:rFonts w:ascii="Times New Roman" w:hAnsi="Times New Roman"/>
          <w:u w:val="single"/>
        </w:rPr>
      </w:pPr>
      <w:r w:rsidRPr="005B383F">
        <w:rPr>
          <w:rFonts w:ascii="Times New Roman" w:hAnsi="Times New Roman"/>
          <w:u w:val="single"/>
        </w:rPr>
        <w:t xml:space="preserve">Zefektivnění prezentace, posílení ochrany a rozvoje </w:t>
      </w:r>
    </w:p>
    <w:p w14:paraId="51347A4C" w14:textId="77777777" w:rsidR="00E83065" w:rsidRPr="005B383F" w:rsidRDefault="00E83065" w:rsidP="00E83065">
      <w:pPr>
        <w:spacing w:line="240" w:lineRule="auto"/>
        <w:rPr>
          <w:rFonts w:ascii="Times New Roman" w:hAnsi="Times New Roman"/>
        </w:rPr>
      </w:pPr>
      <w:r w:rsidRPr="005B383F">
        <w:rPr>
          <w:rFonts w:ascii="Times New Roman" w:hAnsi="Times New Roman"/>
          <w:u w:val="single"/>
        </w:rPr>
        <w:t>kulturního dědictví – IROP SC 3.1</w:t>
      </w:r>
      <w:r w:rsidRPr="005B383F">
        <w:rPr>
          <w:rFonts w:ascii="Times New Roman" w:hAnsi="Times New Roman"/>
          <w:u w:val="single"/>
        </w:rPr>
        <w:tab/>
      </w:r>
      <w:r w:rsidRPr="005B383F">
        <w:rPr>
          <w:rFonts w:ascii="Times New Roman" w:hAnsi="Times New Roman"/>
          <w:u w:val="single"/>
        </w:rPr>
        <w:tab/>
      </w:r>
      <w:r w:rsidRPr="005B383F">
        <w:rPr>
          <w:rFonts w:ascii="Times New Roman" w:hAnsi="Times New Roman"/>
          <w:u w:val="single"/>
        </w:rPr>
        <w:tab/>
      </w:r>
      <w:r w:rsidRPr="005B383F">
        <w:rPr>
          <w:rFonts w:ascii="Times New Roman" w:hAnsi="Times New Roman"/>
          <w:u w:val="single"/>
        </w:rPr>
        <w:tab/>
      </w:r>
      <w:r w:rsidRPr="005B383F">
        <w:rPr>
          <w:rFonts w:ascii="Times New Roman" w:hAnsi="Times New Roman"/>
          <w:u w:val="single"/>
        </w:rPr>
        <w:tab/>
      </w:r>
      <w:r w:rsidRPr="005B383F">
        <w:rPr>
          <w:rFonts w:ascii="Times New Roman" w:hAnsi="Times New Roman"/>
          <w:u w:val="single"/>
        </w:rPr>
        <w:tab/>
        <w:t> </w:t>
      </w:r>
      <w:r w:rsidR="007642FE" w:rsidRPr="005B383F">
        <w:rPr>
          <w:rFonts w:ascii="Times New Roman" w:hAnsi="Times New Roman"/>
          <w:u w:val="single"/>
        </w:rPr>
        <w:t>        </w:t>
      </w:r>
      <w:r w:rsidR="0070760E" w:rsidRPr="005B383F">
        <w:rPr>
          <w:rFonts w:ascii="Times New Roman" w:hAnsi="Times New Roman"/>
          <w:u w:val="single"/>
        </w:rPr>
        <w:t>36</w:t>
      </w:r>
      <w:r w:rsidRPr="005B383F">
        <w:rPr>
          <w:rFonts w:ascii="Times New Roman" w:hAnsi="Times New Roman"/>
          <w:u w:val="single"/>
        </w:rPr>
        <w:t> 000 000 Kč</w:t>
      </w:r>
    </w:p>
    <w:p w14:paraId="51347A4D" w14:textId="77777777" w:rsidR="004B2545" w:rsidRPr="005B383F" w:rsidRDefault="004B2545" w:rsidP="004B2545">
      <w:pPr>
        <w:spacing w:before="120" w:line="240" w:lineRule="auto"/>
        <w:rPr>
          <w:rFonts w:ascii="Times New Roman" w:hAnsi="Times New Roman"/>
          <w:szCs w:val="24"/>
        </w:rPr>
      </w:pPr>
      <w:r w:rsidRPr="005B383F">
        <w:rPr>
          <w:rFonts w:ascii="Times New Roman" w:hAnsi="Times New Roman"/>
        </w:rPr>
        <w:t xml:space="preserve">V rámci IROP bude možné v programovém období 2014 – 2020 čerpat finanční prostředky </w:t>
      </w:r>
      <w:r w:rsidRPr="005B383F">
        <w:rPr>
          <w:rFonts w:ascii="Times New Roman" w:hAnsi="Times New Roman"/>
        </w:rPr>
        <w:br/>
        <w:t xml:space="preserve">ze specifického cíle 3.1 Zefektivnění prezentace, posílení ochrany a rozvoje kulturního dědictví – podprogram 134V711 (dále jen „SC 3.1“). Pro SC 3.1 je v aktuální podobě programového dokumentu IROP alokováno celkem 9 % finančních prostředků z ERDF </w:t>
      </w:r>
      <w:r w:rsidR="000E07DA" w:rsidRPr="005B383F">
        <w:rPr>
          <w:rFonts w:ascii="Times New Roman" w:hAnsi="Times New Roman"/>
        </w:rPr>
        <w:br/>
      </w:r>
      <w:r w:rsidRPr="005B383F">
        <w:rPr>
          <w:rFonts w:ascii="Times New Roman" w:hAnsi="Times New Roman"/>
        </w:rPr>
        <w:t xml:space="preserve">ve výši 425 278 328 EUR (tj. při kurzu 27,50 CZK/EUR cca 11,7 mld. Kč). </w:t>
      </w:r>
      <w:r w:rsidRPr="005B383F">
        <w:rPr>
          <w:rFonts w:ascii="Times New Roman" w:hAnsi="Times New Roman"/>
          <w:szCs w:val="24"/>
        </w:rPr>
        <w:t>Z SC 3.1 bude možné čerpat finanční prostředky na kulturní památky, muzea a knihovny na tyto typy intervencí: obnova památek, zajištění vyšší bezpečnosti návštěvníků, odstraňování přístupových bariér, zvýšení ochrany památek a jejich zabezpečení, rekonstrukce stávajících expozic a depozitářů a</w:t>
      </w:r>
      <w:r w:rsidRPr="005B383F">
        <w:t xml:space="preserve"> </w:t>
      </w:r>
      <w:r w:rsidRPr="005B383F">
        <w:rPr>
          <w:rFonts w:ascii="Times New Roman" w:hAnsi="Times New Roman"/>
          <w:szCs w:val="24"/>
        </w:rPr>
        <w:t xml:space="preserve">budování nových expozic a depozitářů, digitalizace památek </w:t>
      </w:r>
      <w:r w:rsidR="000E07DA" w:rsidRPr="005B383F">
        <w:rPr>
          <w:rFonts w:ascii="Times New Roman" w:hAnsi="Times New Roman"/>
        </w:rPr>
        <w:br/>
      </w:r>
      <w:r w:rsidRPr="005B383F">
        <w:rPr>
          <w:rFonts w:ascii="Times New Roman" w:hAnsi="Times New Roman"/>
          <w:szCs w:val="24"/>
        </w:rPr>
        <w:t xml:space="preserve">a mobiliářů, zvýšení ochrany sbírkových a knihovních fondů, rekonstrukce stávajících expozic a depozitářů, budování nových expozic a depozitářů, modernizace stávajících expozic a depozitářů, digitalizace muzejních sbírek a knihovních fondů, zabezpečení a osvětlení objektů, modernizace, popř. výstavba nezbytných objektů sociálního, technického </w:t>
      </w:r>
      <w:r w:rsidR="000E07DA" w:rsidRPr="005B383F">
        <w:rPr>
          <w:rFonts w:ascii="Times New Roman" w:hAnsi="Times New Roman"/>
        </w:rPr>
        <w:br/>
      </w:r>
      <w:r w:rsidRPr="005B383F">
        <w:rPr>
          <w:rFonts w:ascii="Times New Roman" w:hAnsi="Times New Roman"/>
          <w:szCs w:val="24"/>
        </w:rPr>
        <w:t xml:space="preserve">a technologického zázemí, revitalizace parků a zahrad u vybraných souborů památek apod. </w:t>
      </w:r>
    </w:p>
    <w:p w14:paraId="51347A4E" w14:textId="77777777" w:rsidR="004B2545" w:rsidRPr="005B383F" w:rsidRDefault="004B2545" w:rsidP="004B2545">
      <w:pPr>
        <w:spacing w:before="120" w:line="240" w:lineRule="auto"/>
      </w:pPr>
      <w:r w:rsidRPr="005B383F">
        <w:rPr>
          <w:rFonts w:ascii="Times New Roman" w:hAnsi="Times New Roman"/>
        </w:rPr>
        <w:t xml:space="preserve">Cílem SC 3.1 je zachovat, ochránit a rozvíjet potenciál kulturního dědictví a využít ho k vyváženému rozvoji území s pozitivními dopady na regionální a místní zaměstnanost. Ministerstvo kultury se nachází před jedinečnou možností využít finančních prostředků pro kulturní památky a paměťové instituce ve vlastnictví státu z Evropských strukturálních a investičních fondů (konkrétně z ERDF). V tomto novém programovém období bude z ERDF poskytováno na projekty 85 % finančních prostředků. Z tohoto důvodu by mělo Ministerstvo kultury zajistit na spolufinancování projektů pro projektové žádosti Ministerstva kultury a svých příspěvkových organizací zbývajících 15 % výše projektů (částka 15 % představuje povinné národní kofinancování). Z tohoto SC budou v rámci podprogramu 134V711 financovány projekty za muzea, knihovny a kulturní památky s cílem zachovat, ochránit a rozvíjet potenciál kulturního dědictví ČR ve vlastnictví státu – pro rok 2016 je </w:t>
      </w:r>
      <w:r w:rsidRPr="005B383F">
        <w:rPr>
          <w:rFonts w:ascii="Times New Roman" w:hAnsi="Times New Roman"/>
        </w:rPr>
        <w:lastRenderedPageBreak/>
        <w:t xml:space="preserve">z dosud získaných podkladů nutno uvažovat s předpokládanou úspěšností 8 projektů příspěvkových organizací </w:t>
      </w:r>
      <w:r w:rsidR="005B383F" w:rsidRPr="005B383F">
        <w:rPr>
          <w:rFonts w:ascii="Times New Roman" w:hAnsi="Times New Roman"/>
        </w:rPr>
        <w:t>Ministerstva kultury</w:t>
      </w:r>
      <w:r w:rsidRPr="005B383F">
        <w:rPr>
          <w:rFonts w:ascii="Times New Roman" w:hAnsi="Times New Roman"/>
        </w:rPr>
        <w:t xml:space="preserve">. </w:t>
      </w:r>
    </w:p>
    <w:p w14:paraId="51347A4F" w14:textId="77777777" w:rsidR="00E83065" w:rsidRPr="005B383F" w:rsidRDefault="004B2545" w:rsidP="005B383F">
      <w:pPr>
        <w:pStyle w:val="Zhlav"/>
        <w:spacing w:before="120"/>
        <w:rPr>
          <w:rFonts w:ascii="Times New Roman" w:hAnsi="Times New Roman"/>
        </w:rPr>
      </w:pPr>
      <w:r w:rsidRPr="005B383F">
        <w:rPr>
          <w:rFonts w:ascii="Times New Roman" w:hAnsi="Times New Roman"/>
        </w:rPr>
        <w:t>Údaje za podprogram jsou uvedeny ve Formuláři č. 9/1</w:t>
      </w:r>
      <w:r w:rsidRPr="005B383F">
        <w:rPr>
          <w:rFonts w:ascii="Times New Roman" w:hAnsi="Times New Roman"/>
          <w:i/>
        </w:rPr>
        <w:t>.</w:t>
      </w:r>
    </w:p>
    <w:p w14:paraId="51347A50" w14:textId="77777777" w:rsidR="00E83065" w:rsidRPr="005B383F" w:rsidRDefault="00E83065" w:rsidP="00E83065">
      <w:pPr>
        <w:spacing w:before="120" w:line="240" w:lineRule="auto"/>
        <w:rPr>
          <w:rFonts w:ascii="Times New Roman" w:hAnsi="Times New Roman"/>
          <w:u w:val="single"/>
        </w:rPr>
      </w:pPr>
      <w:r w:rsidRPr="005B383F">
        <w:rPr>
          <w:rFonts w:ascii="Times New Roman" w:hAnsi="Times New Roman"/>
          <w:u w:val="single"/>
        </w:rPr>
        <w:t>eCulture -IROP SC 3.2</w:t>
      </w:r>
      <w:r w:rsidRPr="005B383F">
        <w:rPr>
          <w:rFonts w:ascii="Times New Roman" w:hAnsi="Times New Roman"/>
          <w:u w:val="single"/>
        </w:rPr>
        <w:tab/>
      </w:r>
      <w:r w:rsidRPr="005B383F">
        <w:rPr>
          <w:rFonts w:ascii="Times New Roman" w:hAnsi="Times New Roman"/>
          <w:u w:val="single"/>
        </w:rPr>
        <w:tab/>
      </w:r>
      <w:r w:rsidRPr="005B383F">
        <w:rPr>
          <w:rFonts w:ascii="Times New Roman" w:hAnsi="Times New Roman"/>
          <w:u w:val="single"/>
        </w:rPr>
        <w:tab/>
      </w:r>
      <w:r w:rsidRPr="005B383F">
        <w:rPr>
          <w:rFonts w:ascii="Times New Roman" w:hAnsi="Times New Roman"/>
          <w:u w:val="single"/>
        </w:rPr>
        <w:tab/>
      </w:r>
      <w:r w:rsidRPr="005B383F">
        <w:rPr>
          <w:rFonts w:ascii="Times New Roman" w:hAnsi="Times New Roman"/>
          <w:u w:val="single"/>
        </w:rPr>
        <w:tab/>
      </w:r>
      <w:r w:rsidRPr="005B383F">
        <w:rPr>
          <w:rFonts w:ascii="Times New Roman" w:hAnsi="Times New Roman"/>
          <w:u w:val="single"/>
        </w:rPr>
        <w:tab/>
      </w:r>
      <w:r w:rsidRPr="005B383F">
        <w:rPr>
          <w:rFonts w:ascii="Times New Roman" w:hAnsi="Times New Roman"/>
          <w:u w:val="single"/>
        </w:rPr>
        <w:tab/>
        <w:t>    </w:t>
      </w:r>
      <w:r w:rsidR="007642FE" w:rsidRPr="005B383F">
        <w:rPr>
          <w:rFonts w:ascii="Times New Roman" w:hAnsi="Times New Roman"/>
          <w:u w:val="single"/>
        </w:rPr>
        <w:t>      </w:t>
      </w:r>
      <w:r w:rsidRPr="005B383F">
        <w:rPr>
          <w:rFonts w:ascii="Times New Roman" w:hAnsi="Times New Roman"/>
          <w:u w:val="single"/>
        </w:rPr>
        <w:t> </w:t>
      </w:r>
      <w:r w:rsidR="004B2545" w:rsidRPr="005B383F">
        <w:rPr>
          <w:rFonts w:ascii="Times New Roman" w:hAnsi="Times New Roman"/>
          <w:u w:val="single"/>
        </w:rPr>
        <w:t>8</w:t>
      </w:r>
      <w:r w:rsidRPr="005B383F">
        <w:rPr>
          <w:rFonts w:ascii="Times New Roman" w:hAnsi="Times New Roman"/>
          <w:u w:val="single"/>
        </w:rPr>
        <w:t> 000 000 Kč</w:t>
      </w:r>
    </w:p>
    <w:p w14:paraId="51347A51" w14:textId="77777777" w:rsidR="004B2545" w:rsidRPr="005B383F" w:rsidRDefault="004B2545" w:rsidP="004B2545">
      <w:pPr>
        <w:spacing w:before="120" w:line="240" w:lineRule="auto"/>
        <w:rPr>
          <w:rFonts w:ascii="Times New Roman" w:hAnsi="Times New Roman"/>
          <w:szCs w:val="24"/>
        </w:rPr>
      </w:pPr>
      <w:r w:rsidRPr="005B383F">
        <w:rPr>
          <w:rFonts w:ascii="Times New Roman" w:hAnsi="Times New Roman"/>
          <w:szCs w:val="24"/>
        </w:rPr>
        <w:t xml:space="preserve">V rámci Integrovaného regionálního operačního programu (IROP) bude možné čerpat v programovém období 2014 – 2020 finanční prostředky na zvyšování efektivity </w:t>
      </w:r>
      <w:r w:rsidRPr="005B383F">
        <w:rPr>
          <w:rFonts w:ascii="Times New Roman" w:hAnsi="Times New Roman"/>
          <w:highlight w:val="yellow"/>
        </w:rPr>
        <w:br/>
      </w:r>
      <w:r w:rsidRPr="005B383F">
        <w:rPr>
          <w:rFonts w:ascii="Times New Roman" w:hAnsi="Times New Roman"/>
          <w:szCs w:val="24"/>
        </w:rPr>
        <w:t>a transparentnosti veřejné správy prostřednictvím rozvoje využití a kvality systémů informačních a komunikačních technologií. Specifický cíl 3.2 (</w:t>
      </w:r>
      <w:r w:rsidRPr="005B383F">
        <w:rPr>
          <w:rFonts w:ascii="Times New Roman" w:hAnsi="Times New Roman"/>
        </w:rPr>
        <w:t xml:space="preserve">podprogram 134V712) </w:t>
      </w:r>
      <w:r w:rsidRPr="005B383F">
        <w:rPr>
          <w:rFonts w:ascii="Times New Roman" w:hAnsi="Times New Roman"/>
          <w:szCs w:val="24"/>
        </w:rPr>
        <w:t xml:space="preserve">naplňuje tematicky cíl č. 2 Posilování aplikací v oblasti IKT určených pro elektronickou veřejnou správu, elektronické určení, začlenění do informační společnosti, elektronickou kulturu a elektronické zdravotnictví. Na specifický cíl (dále jen SC) je vyčleněno 7,12 % prostředků programu, tedy 330 247 845 EUR (tj. </w:t>
      </w:r>
      <w:r w:rsidRPr="005B383F">
        <w:rPr>
          <w:rFonts w:ascii="Times New Roman" w:hAnsi="Times New Roman"/>
        </w:rPr>
        <w:t>při kurzu 27,50 CZK/EUR</w:t>
      </w:r>
      <w:r w:rsidRPr="005B383F">
        <w:rPr>
          <w:rFonts w:ascii="Times New Roman" w:hAnsi="Times New Roman"/>
          <w:szCs w:val="24"/>
        </w:rPr>
        <w:t xml:space="preserve"> cca 9 mld. Kč). </w:t>
      </w:r>
    </w:p>
    <w:p w14:paraId="51347A52" w14:textId="77777777" w:rsidR="004B2545" w:rsidRPr="005B383F" w:rsidRDefault="004B2545" w:rsidP="004B2545">
      <w:pPr>
        <w:spacing w:before="120" w:line="240" w:lineRule="auto"/>
        <w:rPr>
          <w:rFonts w:ascii="Times New Roman" w:hAnsi="Times New Roman"/>
          <w:szCs w:val="24"/>
        </w:rPr>
      </w:pPr>
      <w:r w:rsidRPr="005B383F">
        <w:rPr>
          <w:rFonts w:ascii="Times New Roman" w:hAnsi="Times New Roman"/>
          <w:szCs w:val="24"/>
        </w:rPr>
        <w:t>SC 3.2 přispěje k dosažení vysoké kvality služeb veřejné správy koordinovaným propojením a</w:t>
      </w:r>
      <w:r w:rsidR="00367756">
        <w:rPr>
          <w:rFonts w:ascii="Times New Roman" w:hAnsi="Times New Roman"/>
          <w:szCs w:val="24"/>
        </w:rPr>
        <w:t> </w:t>
      </w:r>
      <w:r w:rsidRPr="005B383F">
        <w:rPr>
          <w:rFonts w:ascii="Times New Roman" w:hAnsi="Times New Roman"/>
          <w:szCs w:val="24"/>
        </w:rPr>
        <w:t xml:space="preserve">sdílením informací a dat </w:t>
      </w:r>
      <w:r w:rsidR="00367756" w:rsidRPr="007762FC">
        <w:rPr>
          <w:rFonts w:ascii="Times New Roman" w:hAnsi="Times New Roman"/>
          <w:szCs w:val="24"/>
        </w:rPr>
        <w:t>veřejné správy</w:t>
      </w:r>
      <w:r w:rsidRPr="005B383F">
        <w:rPr>
          <w:rFonts w:ascii="Times New Roman" w:hAnsi="Times New Roman"/>
          <w:szCs w:val="24"/>
        </w:rPr>
        <w:t xml:space="preserve">, dokončením procesu elektronizace agend </w:t>
      </w:r>
      <w:r w:rsidR="00367756" w:rsidRPr="007762FC">
        <w:rPr>
          <w:rFonts w:ascii="Times New Roman" w:hAnsi="Times New Roman"/>
          <w:szCs w:val="24"/>
        </w:rPr>
        <w:t>veřejné správy</w:t>
      </w:r>
      <w:r w:rsidRPr="005B383F">
        <w:rPr>
          <w:rFonts w:ascii="Times New Roman" w:hAnsi="Times New Roman"/>
          <w:szCs w:val="24"/>
        </w:rPr>
        <w:t xml:space="preserve"> (eJustice, eCulture, eHealth, eProcurement, eSbirka, eLegislativa a eIdentita apod.) a</w:t>
      </w:r>
      <w:r w:rsidR="00367756">
        <w:rPr>
          <w:rFonts w:ascii="Times New Roman" w:hAnsi="Times New Roman"/>
          <w:szCs w:val="24"/>
        </w:rPr>
        <w:t> </w:t>
      </w:r>
      <w:r w:rsidRPr="005B383F">
        <w:rPr>
          <w:rFonts w:ascii="Times New Roman" w:hAnsi="Times New Roman"/>
          <w:szCs w:val="24"/>
        </w:rPr>
        <w:t>zavedením úplného elektronického podání rozvojem služeb nad základními registry. Mezi další oblasti patří zajištění specifických informačních a komunikačních systémů, funkční infrastruktury a datových center pro naplnění standardů kybernetické bezpečnosti orgánů veřejné moci.</w:t>
      </w:r>
      <w:r w:rsidRPr="005B383F">
        <w:rPr>
          <w:rFonts w:ascii="Times New Roman" w:hAnsi="Times New Roman"/>
          <w:b/>
          <w:szCs w:val="24"/>
        </w:rPr>
        <w:t xml:space="preserve"> </w:t>
      </w:r>
      <w:r w:rsidRPr="00367756">
        <w:rPr>
          <w:rFonts w:ascii="Times New Roman" w:hAnsi="Times New Roman"/>
          <w:szCs w:val="24"/>
        </w:rPr>
        <w:t>Ze SC 3.2 bude možné čerpat finanční prostředky na tyto typy intervencí: eGovernment, j</w:t>
      </w:r>
      <w:r w:rsidRPr="005B383F">
        <w:rPr>
          <w:rFonts w:ascii="Times New Roman" w:hAnsi="Times New Roman"/>
          <w:szCs w:val="24"/>
        </w:rPr>
        <w:t>menovitě např. samoobslužné získání výpisů z některých registrů veřejné správy a elektronické podání vůči veřejné správě, propojování datového fondu, zajištění provozní spolehlivosti, interoperabilita atd., kybernetická bezpečnost, specifické informační a komunikační systémy a infrastruktura, zrychlení a zjednodušení vnitřních procesů a elektronizace vnitřních procesů aj.</w:t>
      </w:r>
    </w:p>
    <w:p w14:paraId="51347A53" w14:textId="77777777" w:rsidR="004B2545" w:rsidRPr="005B383F" w:rsidRDefault="004B2545" w:rsidP="004B2545">
      <w:pPr>
        <w:spacing w:before="120" w:line="240" w:lineRule="auto"/>
      </w:pPr>
      <w:r w:rsidRPr="005B383F">
        <w:rPr>
          <w:rFonts w:ascii="Times New Roman" w:hAnsi="Times New Roman"/>
          <w:szCs w:val="24"/>
        </w:rPr>
        <w:t>Ministerstvo kultury se nachází před jedinečnou možností využít finančních prostředků pro</w:t>
      </w:r>
      <w:r w:rsidR="00367756">
        <w:rPr>
          <w:rFonts w:ascii="Times New Roman" w:hAnsi="Times New Roman"/>
          <w:szCs w:val="24"/>
        </w:rPr>
        <w:t> </w:t>
      </w:r>
      <w:r w:rsidRPr="005B383F">
        <w:rPr>
          <w:rFonts w:ascii="Times New Roman" w:hAnsi="Times New Roman"/>
          <w:szCs w:val="24"/>
        </w:rPr>
        <w:t xml:space="preserve">projekty svých příspěvkových organizací z Evropských strukturálních a investičních fondů (konkrétně z Evropského fondu rozvoje regionů), kdy 80,863 % finančních prostředků bude poskytováno z EFRR. Ministerstvo kultury by z toho důvodu mělo pro projektové žádosti Ministerstva kultury a svých příspěvkových organizací zajistit 19,137% částku na spolufinancování projektů (částka 19,137 % představuje povinné národní kofinancování). </w:t>
      </w:r>
      <w:r w:rsidRPr="005B383F">
        <w:rPr>
          <w:rFonts w:ascii="Times New Roman" w:hAnsi="Times New Roman"/>
        </w:rPr>
        <w:t xml:space="preserve">Z tohoto SC budou v rámci podprogramu 134V712 financovány projekty vyplývající z nutnosti zajistit zvyšování efektivity a transparentnosti </w:t>
      </w:r>
      <w:r w:rsidR="00367756" w:rsidRPr="007762FC">
        <w:rPr>
          <w:rFonts w:ascii="Times New Roman" w:hAnsi="Times New Roman"/>
          <w:szCs w:val="24"/>
        </w:rPr>
        <w:t>veřejné správy</w:t>
      </w:r>
      <w:r w:rsidRPr="005B383F">
        <w:rPr>
          <w:rFonts w:ascii="Times New Roman" w:hAnsi="Times New Roman"/>
        </w:rPr>
        <w:t xml:space="preserve"> prostřednictvím rozvoje využití a kvality systémů informačních a komunikačních technologií. Cílem je dosáhnout vysoké kvality služeb </w:t>
      </w:r>
      <w:r w:rsidR="00367756" w:rsidRPr="007762FC">
        <w:rPr>
          <w:rFonts w:ascii="Times New Roman" w:hAnsi="Times New Roman"/>
          <w:szCs w:val="24"/>
        </w:rPr>
        <w:t>veřejné správy</w:t>
      </w:r>
      <w:r w:rsidRPr="005B383F">
        <w:rPr>
          <w:rFonts w:ascii="Times New Roman" w:hAnsi="Times New Roman"/>
        </w:rPr>
        <w:t xml:space="preserve"> propojením a sdílením informací a dat a</w:t>
      </w:r>
      <w:r w:rsidR="00367756">
        <w:rPr>
          <w:rFonts w:ascii="Times New Roman" w:hAnsi="Times New Roman"/>
        </w:rPr>
        <w:t> </w:t>
      </w:r>
      <w:r w:rsidRPr="005B383F">
        <w:rPr>
          <w:rFonts w:ascii="Times New Roman" w:hAnsi="Times New Roman"/>
        </w:rPr>
        <w:t xml:space="preserve">dokončením procesu elektronizace agend </w:t>
      </w:r>
      <w:r w:rsidR="00367756" w:rsidRPr="007762FC">
        <w:rPr>
          <w:rFonts w:ascii="Times New Roman" w:hAnsi="Times New Roman"/>
          <w:szCs w:val="24"/>
        </w:rPr>
        <w:t>veřejné správy</w:t>
      </w:r>
      <w:r w:rsidRPr="005B383F">
        <w:rPr>
          <w:rFonts w:ascii="Times New Roman" w:hAnsi="Times New Roman"/>
        </w:rPr>
        <w:t xml:space="preserve"> (zavedení úplného elektronického podání rozvojem služeb nad základními registry). Pro rok 2016 bylo z dosud získaných podkladů uvažováno s počtem 23 projektů </w:t>
      </w:r>
      <w:r w:rsidR="00367756" w:rsidRPr="005B383F">
        <w:rPr>
          <w:rFonts w:ascii="Times New Roman" w:hAnsi="Times New Roman"/>
          <w:szCs w:val="24"/>
        </w:rPr>
        <w:t>Ministerstva kultury</w:t>
      </w:r>
      <w:r w:rsidRPr="005B383F">
        <w:rPr>
          <w:rFonts w:ascii="Times New Roman" w:hAnsi="Times New Roman"/>
        </w:rPr>
        <w:t xml:space="preserve"> a </w:t>
      </w:r>
      <w:r w:rsidR="00367756">
        <w:rPr>
          <w:rFonts w:ascii="Times New Roman" w:hAnsi="Times New Roman"/>
        </w:rPr>
        <w:t>příspěvkových organizací</w:t>
      </w:r>
      <w:r w:rsidRPr="005B383F">
        <w:rPr>
          <w:rFonts w:ascii="Times New Roman" w:hAnsi="Times New Roman"/>
        </w:rPr>
        <w:t xml:space="preserve"> </w:t>
      </w:r>
      <w:r w:rsidR="00367756" w:rsidRPr="005B383F">
        <w:rPr>
          <w:rFonts w:ascii="Times New Roman" w:hAnsi="Times New Roman"/>
          <w:szCs w:val="24"/>
        </w:rPr>
        <w:t>Ministerstva kultury</w:t>
      </w:r>
      <w:r w:rsidRPr="005B383F">
        <w:rPr>
          <w:rFonts w:ascii="Times New Roman" w:hAnsi="Times New Roman"/>
        </w:rPr>
        <w:t>.</w:t>
      </w:r>
    </w:p>
    <w:p w14:paraId="51347A54" w14:textId="77777777" w:rsidR="004B2545" w:rsidRPr="005B383F" w:rsidRDefault="004B2545" w:rsidP="004B2545">
      <w:pPr>
        <w:pStyle w:val="Zhlav"/>
        <w:spacing w:before="120"/>
        <w:rPr>
          <w:rFonts w:ascii="Times New Roman" w:hAnsi="Times New Roman"/>
        </w:rPr>
      </w:pPr>
      <w:r w:rsidRPr="005B383F">
        <w:rPr>
          <w:rFonts w:ascii="Times New Roman" w:hAnsi="Times New Roman"/>
        </w:rPr>
        <w:t>Údaje za podprogram jsou uvedeny ve Formuláři č. 9/1</w:t>
      </w:r>
      <w:r w:rsidRPr="005B383F">
        <w:rPr>
          <w:rFonts w:ascii="Times New Roman" w:hAnsi="Times New Roman"/>
          <w:i/>
        </w:rPr>
        <w:t>.</w:t>
      </w:r>
    </w:p>
    <w:p w14:paraId="51347A55" w14:textId="77777777" w:rsidR="00E83065" w:rsidRPr="00367756" w:rsidRDefault="00E83065" w:rsidP="00E83065">
      <w:pPr>
        <w:spacing w:before="120" w:line="240" w:lineRule="auto"/>
        <w:rPr>
          <w:rFonts w:ascii="Times New Roman" w:hAnsi="Times New Roman"/>
          <w:u w:val="single"/>
        </w:rPr>
      </w:pPr>
      <w:r w:rsidRPr="00367756">
        <w:rPr>
          <w:rFonts w:ascii="Times New Roman" w:hAnsi="Times New Roman"/>
          <w:u w:val="single"/>
        </w:rPr>
        <w:t>Operační program Zaměstnanost</w:t>
      </w:r>
      <w:r w:rsidRPr="00367756">
        <w:rPr>
          <w:rFonts w:ascii="Times New Roman" w:hAnsi="Times New Roman"/>
          <w:u w:val="single"/>
        </w:rPr>
        <w:tab/>
      </w:r>
      <w:r w:rsidRPr="00367756">
        <w:rPr>
          <w:rFonts w:ascii="Times New Roman" w:hAnsi="Times New Roman"/>
          <w:u w:val="single"/>
        </w:rPr>
        <w:tab/>
      </w:r>
      <w:r w:rsidRPr="00367756">
        <w:rPr>
          <w:rFonts w:ascii="Times New Roman" w:hAnsi="Times New Roman"/>
          <w:u w:val="single"/>
        </w:rPr>
        <w:tab/>
      </w:r>
      <w:r w:rsidRPr="00367756">
        <w:rPr>
          <w:rFonts w:ascii="Times New Roman" w:hAnsi="Times New Roman"/>
          <w:u w:val="single"/>
        </w:rPr>
        <w:tab/>
      </w:r>
      <w:r w:rsidRPr="00367756">
        <w:rPr>
          <w:rFonts w:ascii="Times New Roman" w:hAnsi="Times New Roman"/>
          <w:u w:val="single"/>
        </w:rPr>
        <w:tab/>
      </w:r>
      <w:r w:rsidRPr="00367756">
        <w:rPr>
          <w:rFonts w:ascii="Times New Roman" w:hAnsi="Times New Roman"/>
          <w:u w:val="single"/>
        </w:rPr>
        <w:tab/>
      </w:r>
      <w:r w:rsidR="007642FE" w:rsidRPr="00367756">
        <w:rPr>
          <w:rFonts w:ascii="Times New Roman" w:hAnsi="Times New Roman"/>
          <w:u w:val="single"/>
        </w:rPr>
        <w:t>          </w:t>
      </w:r>
      <w:r w:rsidRPr="00367756">
        <w:rPr>
          <w:rFonts w:ascii="Times New Roman" w:hAnsi="Times New Roman"/>
          <w:u w:val="single"/>
        </w:rPr>
        <w:t> </w:t>
      </w:r>
      <w:r w:rsidR="004B2545" w:rsidRPr="00367756">
        <w:rPr>
          <w:rFonts w:ascii="Times New Roman" w:hAnsi="Times New Roman"/>
          <w:u w:val="single"/>
        </w:rPr>
        <w:t>6</w:t>
      </w:r>
      <w:r w:rsidRPr="00367756">
        <w:rPr>
          <w:rFonts w:ascii="Times New Roman" w:hAnsi="Times New Roman"/>
          <w:u w:val="single"/>
        </w:rPr>
        <w:t> 180 000 Kč</w:t>
      </w:r>
    </w:p>
    <w:p w14:paraId="51347A56" w14:textId="77777777" w:rsidR="00E83065" w:rsidRPr="00367756" w:rsidRDefault="00E83065" w:rsidP="00E83065">
      <w:pPr>
        <w:spacing w:before="120" w:line="240" w:lineRule="auto"/>
        <w:rPr>
          <w:rFonts w:ascii="Times New Roman" w:hAnsi="Times New Roman"/>
          <w:szCs w:val="24"/>
        </w:rPr>
      </w:pPr>
      <w:r w:rsidRPr="00367756">
        <w:rPr>
          <w:rFonts w:ascii="Times New Roman" w:hAnsi="Times New Roman"/>
        </w:rPr>
        <w:t xml:space="preserve">V rámci OP Zaměstnanost (podprogram 134V713)  bude možné čerpat finanční prostředky z prioritní osy 4 Efektivní veřejná správa, tematicky naplňuje cíl č. 11 Posilování institucionální kapacity veřejných orgánů a zúčastněných stran a přispívá k účinné veřejné správě. Na tuto prioritní osu je vyčleněno 5,92 % prostředků programu, tedy </w:t>
      </w:r>
      <w:r w:rsidRPr="00367756">
        <w:rPr>
          <w:rFonts w:ascii="Times New Roman" w:hAnsi="Times New Roman"/>
        </w:rPr>
        <w:br/>
        <w:t xml:space="preserve">127 112 251 EUR </w:t>
      </w:r>
      <w:r w:rsidRPr="00367756">
        <w:rPr>
          <w:rFonts w:ascii="Times New Roman" w:hAnsi="Times New Roman"/>
          <w:szCs w:val="24"/>
        </w:rPr>
        <w:t xml:space="preserve">(tj. </w:t>
      </w:r>
      <w:r w:rsidRPr="00367756">
        <w:rPr>
          <w:rFonts w:ascii="Times New Roman" w:hAnsi="Times New Roman"/>
        </w:rPr>
        <w:t>při kurzu 27,50 CZK/EUR</w:t>
      </w:r>
      <w:r w:rsidRPr="00367756">
        <w:rPr>
          <w:rFonts w:ascii="Times New Roman" w:hAnsi="Times New Roman"/>
          <w:szCs w:val="24"/>
        </w:rPr>
        <w:t xml:space="preserve"> cca 3,5 mld. Kč).</w:t>
      </w:r>
    </w:p>
    <w:p w14:paraId="51347A57" w14:textId="77777777" w:rsidR="00E83065" w:rsidRPr="00367756" w:rsidRDefault="00E83065" w:rsidP="00E83065">
      <w:pPr>
        <w:spacing w:before="120" w:line="240" w:lineRule="auto"/>
        <w:rPr>
          <w:rFonts w:ascii="Times New Roman" w:hAnsi="Times New Roman"/>
          <w:szCs w:val="24"/>
        </w:rPr>
      </w:pPr>
      <w:r w:rsidRPr="00367756">
        <w:rPr>
          <w:rFonts w:ascii="Times New Roman" w:hAnsi="Times New Roman"/>
        </w:rPr>
        <w:lastRenderedPageBreak/>
        <w:t>Projekty Ministerstva kultury a jejích příspěvkových organizací lze navázat na specifický cíl 4.1.1 Optimalizovat procesy a postupy ve veřejné správě zejména prostřednictvím posílení strategického řízení organizací, zvýšení kvality jejich fungování a snížení administrativní zátěže, který přispěje k dokončení reformních procesů veřejné správy realizací intervencí zaměřených na naplnění potřeb veřejné správy v oblastech nastavení a rozvoje řízení kvality, zkvalitnění strategického a projektového řízení, rozvoje procesů snižujících administrativní</w:t>
      </w:r>
      <w:r w:rsidRPr="00367756">
        <w:rPr>
          <w:rFonts w:ascii="Times New Roman" w:hAnsi="Times New Roman"/>
        </w:rPr>
        <w:br/>
        <w:t xml:space="preserve"> a regulační zátěž, zlepšení komunikace a předávání informací mezi veřejnou správou samotnou a občany či dokončení procesního modelování agend. </w:t>
      </w:r>
      <w:r w:rsidRPr="00367756">
        <w:rPr>
          <w:rFonts w:ascii="Times New Roman" w:hAnsi="Times New Roman"/>
          <w:szCs w:val="24"/>
        </w:rPr>
        <w:t xml:space="preserve">Ze SC 4.1.1 bude možné čerpat finanční prostředky na tyto typy intervencí: dokončení </w:t>
      </w:r>
      <w:r w:rsidRPr="00367756">
        <w:rPr>
          <w:rFonts w:ascii="Times New Roman" w:hAnsi="Times New Roman"/>
        </w:rPr>
        <w:t xml:space="preserve">reformních procesů </w:t>
      </w:r>
      <w:r w:rsidR="00367756" w:rsidRPr="00367756">
        <w:rPr>
          <w:rFonts w:ascii="Times New Roman" w:hAnsi="Times New Roman"/>
        </w:rPr>
        <w:t xml:space="preserve">veřejné správy </w:t>
      </w:r>
      <w:r w:rsidRPr="00367756">
        <w:rPr>
          <w:rFonts w:ascii="Times New Roman" w:hAnsi="Times New Roman"/>
        </w:rPr>
        <w:t xml:space="preserve">realizací intervencí zaměřených na naplnění potřeb </w:t>
      </w:r>
      <w:r w:rsidR="00367756" w:rsidRPr="00367756">
        <w:rPr>
          <w:rFonts w:ascii="Times New Roman" w:hAnsi="Times New Roman"/>
        </w:rPr>
        <w:t>veřejné správy</w:t>
      </w:r>
      <w:r w:rsidRPr="00367756">
        <w:rPr>
          <w:rFonts w:ascii="Times New Roman" w:hAnsi="Times New Roman"/>
        </w:rPr>
        <w:t xml:space="preserve"> v oblastech nastavení a rozvoje řízení kvality, zkvalitnění strategického a projektového řízení, rozvoje procesů snižujících administrativní a regulační zátěž, zlepšení komunikace a předávání informací mezi VS samotnou a občany či dokončení procesního modelování agend.</w:t>
      </w:r>
      <w:r w:rsidRPr="00367756">
        <w:rPr>
          <w:rFonts w:ascii="Times New Roman" w:hAnsi="Times New Roman"/>
          <w:szCs w:val="24"/>
        </w:rPr>
        <w:t xml:space="preserve"> </w:t>
      </w:r>
    </w:p>
    <w:p w14:paraId="51347A58" w14:textId="77777777" w:rsidR="00E83065" w:rsidRPr="00367756" w:rsidRDefault="00E83065" w:rsidP="00E83065">
      <w:pPr>
        <w:spacing w:before="120" w:line="240" w:lineRule="auto"/>
        <w:rPr>
          <w:rFonts w:ascii="Times New Roman" w:hAnsi="Times New Roman"/>
        </w:rPr>
      </w:pPr>
      <w:r w:rsidRPr="00367756">
        <w:rPr>
          <w:rFonts w:ascii="Times New Roman" w:hAnsi="Times New Roman"/>
        </w:rPr>
        <w:t xml:space="preserve">Dále na specifický cíl 4.1.2 Profesionalizovat veřejnou správu zejména prostřednictvím zvyšování znalostí a dovedností jejích pracovníků, rozvoje politik a strategií v oblasti lidských zdrojů a implementace služebního zákona. Specifický cíl 4.1.2 přispěje k dokončení reformních procesů veřejné správy prostřednictvím realizace intervencí zaměřených na naplnění konkrétních potřeb v oblastech realizace specifických vzdělávacích a výcvikových programů, optimalizace řízení lidských zdrojů v institucích veřejné správy a profesionalizace státní služby. Ministerstvo kultury se nachází před jedinečnou možností využít finančních prostředků pro projekty svých příspěvkových organizací z Evropských strukturálních a investičních fondů (konkrétně z Evropského sociálního fondu), kdy 80,863 % finančních prostředků bude poskytováno z ESF. Ministerstvo kultury by z toho důvodu mělo pro projektové žádosti Ministerstva kultury a svých příspěvkových organizací zajistit </w:t>
      </w:r>
      <w:r w:rsidR="000E07DA" w:rsidRPr="00367756">
        <w:rPr>
          <w:rFonts w:ascii="Times New Roman" w:hAnsi="Times New Roman"/>
        </w:rPr>
        <w:br/>
      </w:r>
      <w:r w:rsidRPr="00367756">
        <w:rPr>
          <w:rFonts w:ascii="Times New Roman" w:hAnsi="Times New Roman"/>
        </w:rPr>
        <w:t xml:space="preserve">19,137 % částku na spolufinancování projektů (částka 19,137 % představuje povinné národní kofinancování). Pro prioritní osu 4 uvažuje </w:t>
      </w:r>
      <w:r w:rsidR="00367756" w:rsidRPr="00367756">
        <w:rPr>
          <w:rFonts w:ascii="Times New Roman" w:hAnsi="Times New Roman"/>
        </w:rPr>
        <w:t>Ministerstvo kultury</w:t>
      </w:r>
      <w:r w:rsidRPr="00367756">
        <w:rPr>
          <w:rFonts w:ascii="Times New Roman" w:hAnsi="Times New Roman"/>
        </w:rPr>
        <w:t xml:space="preserve"> pro rok 2016 s počtem projektů ve výši 40 pro příspěvkové organizace a 6 za </w:t>
      </w:r>
      <w:r w:rsidR="00367756" w:rsidRPr="00367756">
        <w:rPr>
          <w:rFonts w:ascii="Times New Roman" w:hAnsi="Times New Roman"/>
        </w:rPr>
        <w:t>Ministerstvo kultury</w:t>
      </w:r>
      <w:r w:rsidRPr="00367756">
        <w:rPr>
          <w:rFonts w:ascii="Times New Roman" w:hAnsi="Times New Roman"/>
        </w:rPr>
        <w:t xml:space="preserve">. </w:t>
      </w:r>
    </w:p>
    <w:p w14:paraId="51347A59" w14:textId="77777777" w:rsidR="00E83065" w:rsidRPr="00367756" w:rsidRDefault="00E83065" w:rsidP="00E83065">
      <w:pPr>
        <w:pStyle w:val="Zhlav"/>
        <w:spacing w:before="120"/>
        <w:rPr>
          <w:rFonts w:ascii="Times New Roman" w:hAnsi="Times New Roman"/>
        </w:rPr>
      </w:pPr>
      <w:r w:rsidRPr="00367756">
        <w:rPr>
          <w:rFonts w:ascii="Times New Roman" w:hAnsi="Times New Roman"/>
        </w:rPr>
        <w:t>Údaje za podprogram jsou uvedeny ve Formuláři č. 9/1</w:t>
      </w:r>
      <w:r w:rsidRPr="00367756">
        <w:rPr>
          <w:rFonts w:ascii="Times New Roman" w:hAnsi="Times New Roman"/>
          <w:i/>
        </w:rPr>
        <w:t>.</w:t>
      </w:r>
    </w:p>
    <w:p w14:paraId="51347A5A" w14:textId="77777777" w:rsidR="005A1F85" w:rsidRPr="00033A68" w:rsidRDefault="005A1F85" w:rsidP="005A1F85">
      <w:pPr>
        <w:spacing w:line="240" w:lineRule="auto"/>
        <w:rPr>
          <w:rFonts w:ascii="Times New Roman" w:hAnsi="Times New Roman"/>
        </w:rPr>
      </w:pPr>
    </w:p>
    <w:p w14:paraId="51347A5B" w14:textId="77777777" w:rsidR="00D55972" w:rsidRPr="004B2545" w:rsidRDefault="005E5D9A" w:rsidP="001D72D6">
      <w:pPr>
        <w:pStyle w:val="Nadpis2"/>
        <w:tabs>
          <w:tab w:val="left" w:pos="708"/>
          <w:tab w:val="left" w:pos="1416"/>
          <w:tab w:val="left" w:pos="2124"/>
          <w:tab w:val="left" w:pos="2832"/>
          <w:tab w:val="left" w:pos="3540"/>
          <w:tab w:val="left" w:pos="4248"/>
          <w:tab w:val="left" w:pos="4956"/>
          <w:tab w:val="left" w:pos="5664"/>
          <w:tab w:val="left" w:pos="6372"/>
          <w:tab w:val="left" w:pos="7080"/>
          <w:tab w:val="left" w:pos="7892"/>
        </w:tabs>
        <w:spacing w:line="240" w:lineRule="auto"/>
        <w:ind w:left="709" w:hanging="709"/>
      </w:pPr>
      <w:bookmarkStart w:id="22" w:name="_Toc431911994"/>
      <w:r>
        <w:t>C</w:t>
      </w:r>
      <w:r w:rsidR="00C22F02" w:rsidRPr="004B2545">
        <w:t>. III.</w:t>
      </w:r>
      <w:r w:rsidR="00C22F02" w:rsidRPr="004B2545">
        <w:tab/>
        <w:t>Výdaje na společné projekty, které jsou zcela nebo částečně</w:t>
      </w:r>
      <w:bookmarkEnd w:id="22"/>
      <w:r w:rsidR="00C22F02" w:rsidRPr="004B2545">
        <w:t xml:space="preserve"> </w:t>
      </w:r>
      <w:r w:rsidR="001D72D6">
        <w:tab/>
      </w:r>
    </w:p>
    <w:p w14:paraId="51347A5C" w14:textId="77777777" w:rsidR="00C22F02" w:rsidRPr="005938BB" w:rsidRDefault="00C22F02" w:rsidP="005938BB">
      <w:pPr>
        <w:ind w:left="709"/>
        <w:rPr>
          <w:rFonts w:ascii="Times New Roman" w:hAnsi="Times New Roman"/>
          <w:b/>
          <w:sz w:val="26"/>
          <w:szCs w:val="26"/>
        </w:rPr>
      </w:pPr>
      <w:bookmarkStart w:id="23" w:name="_Toc431911995"/>
      <w:r w:rsidRPr="005938BB">
        <w:rPr>
          <w:rFonts w:ascii="Times New Roman" w:hAnsi="Times New Roman"/>
          <w:b/>
          <w:sz w:val="26"/>
          <w:szCs w:val="26"/>
        </w:rPr>
        <w:t>financovány z prostředků finančních mechanismů</w:t>
      </w:r>
      <w:bookmarkEnd w:id="23"/>
    </w:p>
    <w:p w14:paraId="51347A5D" w14:textId="77777777" w:rsidR="00527642" w:rsidRPr="00202815" w:rsidRDefault="00527642" w:rsidP="00527642">
      <w:pPr>
        <w:rPr>
          <w:rFonts w:ascii="Times New Roman" w:hAnsi="Times New Roman"/>
          <w:sz w:val="20"/>
        </w:rPr>
      </w:pPr>
      <w:r w:rsidRPr="00367756">
        <w:tab/>
      </w:r>
      <w:r w:rsidRPr="00367756">
        <w:tab/>
      </w:r>
      <w:r w:rsidRPr="00367756">
        <w:tab/>
      </w:r>
      <w:r w:rsidRPr="00367756">
        <w:tab/>
      </w:r>
      <w:r w:rsidRPr="00367756">
        <w:tab/>
      </w:r>
      <w:r w:rsidRPr="00367756">
        <w:tab/>
      </w:r>
      <w:r w:rsidRPr="00367756">
        <w:tab/>
      </w:r>
      <w:r w:rsidRPr="00367756">
        <w:tab/>
      </w:r>
      <w:r w:rsidRPr="00367756">
        <w:tab/>
      </w:r>
      <w:r w:rsidRPr="00367756">
        <w:tab/>
      </w:r>
      <w:r w:rsidRPr="00367756">
        <w:tab/>
      </w:r>
      <w:r w:rsidRPr="00367756">
        <w:tab/>
      </w:r>
      <w:r w:rsidRPr="00202815">
        <w:rPr>
          <w:rFonts w:ascii="Times New Roman" w:hAnsi="Times New Roman"/>
          <w:sz w:val="20"/>
        </w:rPr>
        <w:t>v Kč</w:t>
      </w:r>
    </w:p>
    <w:tbl>
      <w:tblPr>
        <w:tblW w:w="9087" w:type="dxa"/>
        <w:tblInd w:w="55" w:type="dxa"/>
        <w:tblCellMar>
          <w:left w:w="70" w:type="dxa"/>
          <w:right w:w="70" w:type="dxa"/>
        </w:tblCellMar>
        <w:tblLook w:val="04A0" w:firstRow="1" w:lastRow="0" w:firstColumn="1" w:lastColumn="0" w:noHBand="0" w:noVBand="1"/>
      </w:tblPr>
      <w:tblGrid>
        <w:gridCol w:w="5118"/>
        <w:gridCol w:w="1418"/>
        <w:gridCol w:w="1276"/>
        <w:gridCol w:w="1275"/>
      </w:tblGrid>
      <w:tr w:rsidR="00015522" w:rsidRPr="00367756" w14:paraId="51347A63" w14:textId="77777777" w:rsidTr="009274EE">
        <w:trPr>
          <w:trHeight w:val="600"/>
        </w:trPr>
        <w:tc>
          <w:tcPr>
            <w:tcW w:w="5118"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51347A5E" w14:textId="77777777" w:rsidR="00015522" w:rsidRPr="00367756" w:rsidRDefault="00015522" w:rsidP="009274EE">
            <w:pPr>
              <w:spacing w:line="240" w:lineRule="auto"/>
              <w:rPr>
                <w:rFonts w:ascii="Calibri" w:hAnsi="Calibri"/>
                <w:b/>
                <w:bCs/>
                <w:sz w:val="22"/>
                <w:szCs w:val="22"/>
              </w:rPr>
            </w:pPr>
            <w:r w:rsidRPr="00367756">
              <w:rPr>
                <w:rFonts w:ascii="Calibri" w:hAnsi="Calibri"/>
                <w:b/>
                <w:bCs/>
                <w:sz w:val="22"/>
                <w:szCs w:val="22"/>
              </w:rPr>
              <w:t xml:space="preserve">SPECIFICKÝ UKAZATEL </w:t>
            </w:r>
          </w:p>
        </w:tc>
        <w:tc>
          <w:tcPr>
            <w:tcW w:w="1418" w:type="dxa"/>
            <w:tcBorders>
              <w:top w:val="single" w:sz="12" w:space="0" w:color="auto"/>
              <w:left w:val="nil"/>
              <w:bottom w:val="single" w:sz="12" w:space="0" w:color="auto"/>
              <w:right w:val="single" w:sz="8" w:space="0" w:color="auto"/>
            </w:tcBorders>
            <w:shd w:val="clear" w:color="auto" w:fill="auto"/>
            <w:noWrap/>
            <w:vAlign w:val="center"/>
            <w:hideMark/>
          </w:tcPr>
          <w:p w14:paraId="51347A5F"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SR 2015</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51347A60"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2016</w:t>
            </w:r>
          </w:p>
        </w:tc>
        <w:tc>
          <w:tcPr>
            <w:tcW w:w="1275" w:type="dxa"/>
            <w:tcBorders>
              <w:top w:val="single" w:sz="12" w:space="0" w:color="auto"/>
              <w:left w:val="nil"/>
              <w:bottom w:val="single" w:sz="12" w:space="0" w:color="auto"/>
              <w:right w:val="single" w:sz="12" w:space="0" w:color="auto"/>
            </w:tcBorders>
            <w:shd w:val="clear" w:color="auto" w:fill="auto"/>
            <w:vAlign w:val="center"/>
            <w:hideMark/>
          </w:tcPr>
          <w:p w14:paraId="51347A61" w14:textId="77777777" w:rsidR="00015522" w:rsidRPr="00DC64E0" w:rsidRDefault="00015522" w:rsidP="00A73970">
            <w:pPr>
              <w:jc w:val="center"/>
              <w:rPr>
                <w:rFonts w:ascii="Calibri" w:hAnsi="Calibri"/>
                <w:b/>
                <w:bCs/>
                <w:sz w:val="22"/>
                <w:szCs w:val="22"/>
              </w:rPr>
            </w:pPr>
            <w:r w:rsidRPr="00DC64E0">
              <w:rPr>
                <w:rFonts w:ascii="Calibri" w:hAnsi="Calibri"/>
                <w:b/>
                <w:bCs/>
                <w:sz w:val="22"/>
                <w:szCs w:val="22"/>
              </w:rPr>
              <w:t xml:space="preserve"> Rozdíl</w:t>
            </w:r>
          </w:p>
          <w:p w14:paraId="51347A62" w14:textId="77777777" w:rsidR="00015522" w:rsidRPr="00DC64E0" w:rsidRDefault="00015522" w:rsidP="00A73970">
            <w:pPr>
              <w:jc w:val="center"/>
              <w:rPr>
                <w:rFonts w:ascii="Calibri" w:hAnsi="Calibri"/>
                <w:b/>
                <w:bCs/>
                <w:sz w:val="22"/>
                <w:szCs w:val="22"/>
              </w:rPr>
            </w:pPr>
            <w:r>
              <w:rPr>
                <w:rFonts w:ascii="Calibri" w:hAnsi="Calibri"/>
                <w:b/>
                <w:bCs/>
                <w:sz w:val="22"/>
                <w:szCs w:val="22"/>
              </w:rPr>
              <w:t>S</w:t>
            </w:r>
            <w:r w:rsidRPr="00DC64E0">
              <w:rPr>
                <w:rFonts w:ascii="Calibri" w:hAnsi="Calibri"/>
                <w:b/>
                <w:bCs/>
                <w:sz w:val="22"/>
                <w:szCs w:val="22"/>
              </w:rPr>
              <w:t>R 16 -SR 15</w:t>
            </w:r>
          </w:p>
        </w:tc>
      </w:tr>
      <w:tr w:rsidR="000F771B" w:rsidRPr="00367756" w14:paraId="51347A68" w14:textId="77777777" w:rsidTr="000F771B">
        <w:trPr>
          <w:trHeight w:val="527"/>
        </w:trPr>
        <w:tc>
          <w:tcPr>
            <w:tcW w:w="5118" w:type="dxa"/>
            <w:tcBorders>
              <w:top w:val="nil"/>
              <w:left w:val="single" w:sz="12" w:space="0" w:color="auto"/>
              <w:bottom w:val="single" w:sz="8" w:space="0" w:color="auto"/>
              <w:right w:val="single" w:sz="8" w:space="0" w:color="auto"/>
            </w:tcBorders>
            <w:shd w:val="clear" w:color="auto" w:fill="auto"/>
            <w:hideMark/>
          </w:tcPr>
          <w:p w14:paraId="51347A64" w14:textId="77777777" w:rsidR="009274EE" w:rsidRPr="00367756" w:rsidRDefault="009274EE" w:rsidP="009274EE">
            <w:pPr>
              <w:spacing w:line="240" w:lineRule="auto"/>
              <w:rPr>
                <w:rFonts w:ascii="Calibri" w:hAnsi="Calibri"/>
                <w:sz w:val="22"/>
                <w:szCs w:val="22"/>
              </w:rPr>
            </w:pPr>
            <w:r w:rsidRPr="00367756">
              <w:rPr>
                <w:rFonts w:ascii="Calibri" w:hAnsi="Calibri"/>
                <w:sz w:val="22"/>
                <w:szCs w:val="22"/>
              </w:rPr>
              <w:t>Společné projekty spolufinancované z prostředků finančních mechanismů</w:t>
            </w:r>
          </w:p>
        </w:tc>
        <w:tc>
          <w:tcPr>
            <w:tcW w:w="1418" w:type="dxa"/>
            <w:tcBorders>
              <w:top w:val="nil"/>
              <w:left w:val="nil"/>
              <w:bottom w:val="single" w:sz="8" w:space="0" w:color="auto"/>
              <w:right w:val="single" w:sz="8" w:space="0" w:color="auto"/>
            </w:tcBorders>
            <w:shd w:val="clear" w:color="auto" w:fill="auto"/>
            <w:vAlign w:val="center"/>
            <w:hideMark/>
          </w:tcPr>
          <w:p w14:paraId="51347A65" w14:textId="77777777" w:rsidR="009274EE" w:rsidRPr="00367756" w:rsidRDefault="009274EE" w:rsidP="009274EE">
            <w:pPr>
              <w:spacing w:line="240" w:lineRule="auto"/>
              <w:jc w:val="right"/>
              <w:rPr>
                <w:rFonts w:ascii="Calibri" w:hAnsi="Calibri"/>
                <w:sz w:val="22"/>
                <w:szCs w:val="22"/>
              </w:rPr>
            </w:pPr>
            <w:r w:rsidRPr="00367756">
              <w:rPr>
                <w:rFonts w:ascii="Calibri" w:hAnsi="Calibri"/>
                <w:sz w:val="22"/>
                <w:szCs w:val="22"/>
              </w:rPr>
              <w:t>0</w:t>
            </w:r>
          </w:p>
        </w:tc>
        <w:tc>
          <w:tcPr>
            <w:tcW w:w="1276" w:type="dxa"/>
            <w:tcBorders>
              <w:top w:val="nil"/>
              <w:left w:val="nil"/>
              <w:bottom w:val="single" w:sz="8" w:space="0" w:color="auto"/>
              <w:right w:val="single" w:sz="8" w:space="0" w:color="auto"/>
            </w:tcBorders>
            <w:shd w:val="clear" w:color="auto" w:fill="auto"/>
            <w:noWrap/>
            <w:vAlign w:val="center"/>
            <w:hideMark/>
          </w:tcPr>
          <w:p w14:paraId="51347A66" w14:textId="77777777" w:rsidR="009274EE" w:rsidRPr="00367756" w:rsidRDefault="009274EE" w:rsidP="009274EE">
            <w:pPr>
              <w:spacing w:line="240" w:lineRule="auto"/>
              <w:jc w:val="right"/>
              <w:rPr>
                <w:rFonts w:ascii="Calibri" w:hAnsi="Calibri"/>
                <w:sz w:val="22"/>
                <w:szCs w:val="22"/>
              </w:rPr>
            </w:pPr>
            <w:r w:rsidRPr="00367756">
              <w:rPr>
                <w:rFonts w:ascii="Calibri" w:hAnsi="Calibri"/>
                <w:sz w:val="22"/>
                <w:szCs w:val="22"/>
              </w:rPr>
              <w:t>0</w:t>
            </w:r>
          </w:p>
        </w:tc>
        <w:tc>
          <w:tcPr>
            <w:tcW w:w="1275" w:type="dxa"/>
            <w:tcBorders>
              <w:top w:val="nil"/>
              <w:left w:val="nil"/>
              <w:bottom w:val="single" w:sz="8" w:space="0" w:color="auto"/>
              <w:right w:val="single" w:sz="12" w:space="0" w:color="auto"/>
            </w:tcBorders>
            <w:shd w:val="clear" w:color="auto" w:fill="auto"/>
            <w:noWrap/>
            <w:vAlign w:val="center"/>
            <w:hideMark/>
          </w:tcPr>
          <w:p w14:paraId="51347A67" w14:textId="77777777" w:rsidR="009274EE" w:rsidRPr="00367756" w:rsidRDefault="009274EE" w:rsidP="009274EE">
            <w:pPr>
              <w:spacing w:line="240" w:lineRule="auto"/>
              <w:jc w:val="right"/>
              <w:rPr>
                <w:rFonts w:ascii="Calibri" w:hAnsi="Calibri"/>
                <w:sz w:val="22"/>
                <w:szCs w:val="22"/>
              </w:rPr>
            </w:pPr>
            <w:r w:rsidRPr="00367756">
              <w:rPr>
                <w:rFonts w:ascii="Calibri" w:hAnsi="Calibri"/>
                <w:sz w:val="22"/>
                <w:szCs w:val="22"/>
              </w:rPr>
              <w:t>0</w:t>
            </w:r>
          </w:p>
        </w:tc>
      </w:tr>
      <w:tr w:rsidR="009274EE" w:rsidRPr="00367756" w14:paraId="51347A6D" w14:textId="77777777" w:rsidTr="009274EE">
        <w:trPr>
          <w:trHeight w:val="408"/>
        </w:trPr>
        <w:tc>
          <w:tcPr>
            <w:tcW w:w="5118" w:type="dxa"/>
            <w:tcBorders>
              <w:top w:val="nil"/>
              <w:left w:val="single" w:sz="12" w:space="0" w:color="auto"/>
              <w:bottom w:val="single" w:sz="12" w:space="0" w:color="auto"/>
              <w:right w:val="single" w:sz="8" w:space="0" w:color="auto"/>
            </w:tcBorders>
            <w:shd w:val="clear" w:color="auto" w:fill="auto"/>
            <w:hideMark/>
          </w:tcPr>
          <w:p w14:paraId="51347A69" w14:textId="77777777" w:rsidR="009274EE" w:rsidRPr="00367756" w:rsidRDefault="009274EE" w:rsidP="009274EE">
            <w:pPr>
              <w:spacing w:line="240" w:lineRule="auto"/>
              <w:rPr>
                <w:rFonts w:ascii="Calibri" w:hAnsi="Calibri"/>
                <w:sz w:val="22"/>
                <w:szCs w:val="22"/>
              </w:rPr>
            </w:pPr>
            <w:r w:rsidRPr="00367756">
              <w:rPr>
                <w:rFonts w:ascii="Calibri" w:hAnsi="Calibri"/>
                <w:sz w:val="22"/>
                <w:szCs w:val="22"/>
              </w:rPr>
              <w:t xml:space="preserve"> Podpora záchrany, obnovy a revitalizace kulturních památek</w:t>
            </w:r>
          </w:p>
        </w:tc>
        <w:tc>
          <w:tcPr>
            <w:tcW w:w="1418" w:type="dxa"/>
            <w:tcBorders>
              <w:top w:val="nil"/>
              <w:left w:val="nil"/>
              <w:bottom w:val="single" w:sz="12" w:space="0" w:color="auto"/>
              <w:right w:val="single" w:sz="8" w:space="0" w:color="auto"/>
            </w:tcBorders>
            <w:shd w:val="clear" w:color="auto" w:fill="auto"/>
            <w:noWrap/>
            <w:vAlign w:val="center"/>
            <w:hideMark/>
          </w:tcPr>
          <w:p w14:paraId="51347A6A" w14:textId="77777777" w:rsidR="009274EE" w:rsidRPr="00367756" w:rsidRDefault="009274EE" w:rsidP="009274EE">
            <w:pPr>
              <w:spacing w:line="240" w:lineRule="auto"/>
              <w:jc w:val="right"/>
              <w:rPr>
                <w:rFonts w:ascii="Calibri" w:hAnsi="Calibri"/>
                <w:sz w:val="22"/>
                <w:szCs w:val="22"/>
              </w:rPr>
            </w:pPr>
            <w:r w:rsidRPr="00367756">
              <w:rPr>
                <w:rFonts w:ascii="Calibri" w:hAnsi="Calibri"/>
                <w:sz w:val="22"/>
                <w:szCs w:val="22"/>
              </w:rPr>
              <w:t>32 000 000</w:t>
            </w:r>
          </w:p>
        </w:tc>
        <w:tc>
          <w:tcPr>
            <w:tcW w:w="1276" w:type="dxa"/>
            <w:tcBorders>
              <w:top w:val="nil"/>
              <w:left w:val="nil"/>
              <w:bottom w:val="single" w:sz="12" w:space="0" w:color="auto"/>
              <w:right w:val="single" w:sz="8" w:space="0" w:color="auto"/>
            </w:tcBorders>
            <w:shd w:val="clear" w:color="auto" w:fill="auto"/>
            <w:noWrap/>
            <w:vAlign w:val="center"/>
            <w:hideMark/>
          </w:tcPr>
          <w:p w14:paraId="51347A6B" w14:textId="77777777" w:rsidR="009274EE" w:rsidRPr="00367756" w:rsidRDefault="009274EE" w:rsidP="009274EE">
            <w:pPr>
              <w:spacing w:line="240" w:lineRule="auto"/>
              <w:jc w:val="right"/>
              <w:rPr>
                <w:rFonts w:ascii="Calibri" w:hAnsi="Calibri"/>
                <w:sz w:val="22"/>
                <w:szCs w:val="22"/>
              </w:rPr>
            </w:pPr>
            <w:r w:rsidRPr="00367756">
              <w:rPr>
                <w:rFonts w:ascii="Calibri" w:hAnsi="Calibri"/>
                <w:sz w:val="22"/>
                <w:szCs w:val="22"/>
              </w:rPr>
              <w:t>0</w:t>
            </w:r>
          </w:p>
        </w:tc>
        <w:tc>
          <w:tcPr>
            <w:tcW w:w="1275" w:type="dxa"/>
            <w:tcBorders>
              <w:top w:val="nil"/>
              <w:left w:val="nil"/>
              <w:bottom w:val="single" w:sz="12" w:space="0" w:color="auto"/>
              <w:right w:val="single" w:sz="12" w:space="0" w:color="auto"/>
            </w:tcBorders>
            <w:shd w:val="clear" w:color="auto" w:fill="auto"/>
            <w:noWrap/>
            <w:vAlign w:val="center"/>
            <w:hideMark/>
          </w:tcPr>
          <w:p w14:paraId="51347A6C" w14:textId="77777777" w:rsidR="009274EE" w:rsidRPr="00367756" w:rsidRDefault="009274EE" w:rsidP="009274EE">
            <w:pPr>
              <w:spacing w:line="240" w:lineRule="auto"/>
              <w:jc w:val="right"/>
              <w:rPr>
                <w:rFonts w:ascii="Calibri" w:hAnsi="Calibri"/>
                <w:sz w:val="22"/>
                <w:szCs w:val="22"/>
              </w:rPr>
            </w:pPr>
            <w:r w:rsidRPr="00367756">
              <w:rPr>
                <w:rFonts w:ascii="Calibri" w:hAnsi="Calibri"/>
                <w:sz w:val="22"/>
                <w:szCs w:val="22"/>
              </w:rPr>
              <w:t>-32 000 000</w:t>
            </w:r>
          </w:p>
        </w:tc>
      </w:tr>
      <w:tr w:rsidR="009274EE" w:rsidRPr="00367756" w14:paraId="51347A72" w14:textId="77777777" w:rsidTr="000C3254">
        <w:trPr>
          <w:trHeight w:val="811"/>
        </w:trPr>
        <w:tc>
          <w:tcPr>
            <w:tcW w:w="5118" w:type="dxa"/>
            <w:tcBorders>
              <w:top w:val="nil"/>
              <w:left w:val="single" w:sz="12" w:space="0" w:color="auto"/>
              <w:bottom w:val="single" w:sz="12" w:space="0" w:color="auto"/>
              <w:right w:val="single" w:sz="8" w:space="0" w:color="auto"/>
            </w:tcBorders>
            <w:shd w:val="clear" w:color="auto" w:fill="auto"/>
            <w:hideMark/>
          </w:tcPr>
          <w:p w14:paraId="51347A6E" w14:textId="77777777" w:rsidR="009274EE" w:rsidRPr="00367756" w:rsidRDefault="009274EE" w:rsidP="009274EE">
            <w:pPr>
              <w:spacing w:line="240" w:lineRule="auto"/>
              <w:rPr>
                <w:rFonts w:ascii="Calibri" w:hAnsi="Calibri"/>
                <w:b/>
                <w:bCs/>
                <w:sz w:val="22"/>
                <w:szCs w:val="22"/>
              </w:rPr>
            </w:pPr>
            <w:r w:rsidRPr="00367756">
              <w:rPr>
                <w:rFonts w:ascii="Calibri" w:hAnsi="Calibri"/>
                <w:b/>
                <w:bCs/>
                <w:sz w:val="22"/>
                <w:szCs w:val="22"/>
              </w:rPr>
              <w:t>Výdaje na společné projekty, které jsou zcela nebo částečně financovány z prostředků finančních mechanismů celkem</w:t>
            </w:r>
          </w:p>
        </w:tc>
        <w:tc>
          <w:tcPr>
            <w:tcW w:w="1418" w:type="dxa"/>
            <w:tcBorders>
              <w:top w:val="nil"/>
              <w:left w:val="nil"/>
              <w:bottom w:val="single" w:sz="12" w:space="0" w:color="auto"/>
              <w:right w:val="single" w:sz="8" w:space="0" w:color="auto"/>
            </w:tcBorders>
            <w:shd w:val="clear" w:color="auto" w:fill="auto"/>
            <w:noWrap/>
            <w:vAlign w:val="center"/>
            <w:hideMark/>
          </w:tcPr>
          <w:p w14:paraId="51347A6F" w14:textId="77777777" w:rsidR="009274EE" w:rsidRPr="00367756" w:rsidRDefault="009274EE" w:rsidP="009274EE">
            <w:pPr>
              <w:spacing w:line="240" w:lineRule="auto"/>
              <w:jc w:val="right"/>
              <w:rPr>
                <w:rFonts w:ascii="Calibri" w:hAnsi="Calibri"/>
                <w:b/>
                <w:sz w:val="22"/>
                <w:szCs w:val="22"/>
              </w:rPr>
            </w:pPr>
            <w:r w:rsidRPr="00367756">
              <w:rPr>
                <w:rFonts w:ascii="Calibri" w:hAnsi="Calibri"/>
                <w:b/>
                <w:sz w:val="22"/>
                <w:szCs w:val="22"/>
              </w:rPr>
              <w:t>32 000 000</w:t>
            </w:r>
          </w:p>
        </w:tc>
        <w:tc>
          <w:tcPr>
            <w:tcW w:w="1276" w:type="dxa"/>
            <w:tcBorders>
              <w:top w:val="nil"/>
              <w:left w:val="nil"/>
              <w:bottom w:val="single" w:sz="12" w:space="0" w:color="auto"/>
              <w:right w:val="single" w:sz="8" w:space="0" w:color="auto"/>
            </w:tcBorders>
            <w:shd w:val="clear" w:color="auto" w:fill="auto"/>
            <w:noWrap/>
            <w:vAlign w:val="center"/>
            <w:hideMark/>
          </w:tcPr>
          <w:p w14:paraId="51347A70" w14:textId="77777777" w:rsidR="009274EE" w:rsidRPr="00367756" w:rsidRDefault="009274EE" w:rsidP="009274EE">
            <w:pPr>
              <w:spacing w:line="240" w:lineRule="auto"/>
              <w:jc w:val="right"/>
              <w:rPr>
                <w:rFonts w:ascii="Calibri" w:hAnsi="Calibri"/>
                <w:b/>
                <w:sz w:val="22"/>
                <w:szCs w:val="22"/>
              </w:rPr>
            </w:pPr>
            <w:r w:rsidRPr="00367756">
              <w:rPr>
                <w:rFonts w:ascii="Calibri" w:hAnsi="Calibri"/>
                <w:b/>
                <w:sz w:val="22"/>
                <w:szCs w:val="22"/>
              </w:rPr>
              <w:t>0</w:t>
            </w:r>
          </w:p>
        </w:tc>
        <w:tc>
          <w:tcPr>
            <w:tcW w:w="1275" w:type="dxa"/>
            <w:tcBorders>
              <w:top w:val="nil"/>
              <w:left w:val="nil"/>
              <w:bottom w:val="single" w:sz="12" w:space="0" w:color="auto"/>
              <w:right w:val="single" w:sz="12" w:space="0" w:color="auto"/>
            </w:tcBorders>
            <w:shd w:val="clear" w:color="auto" w:fill="auto"/>
            <w:noWrap/>
            <w:vAlign w:val="center"/>
            <w:hideMark/>
          </w:tcPr>
          <w:p w14:paraId="51347A71" w14:textId="77777777" w:rsidR="009274EE" w:rsidRPr="00367756" w:rsidRDefault="009274EE" w:rsidP="009274EE">
            <w:pPr>
              <w:spacing w:line="240" w:lineRule="auto"/>
              <w:jc w:val="right"/>
              <w:rPr>
                <w:rFonts w:ascii="Calibri" w:hAnsi="Calibri"/>
                <w:b/>
                <w:sz w:val="22"/>
                <w:szCs w:val="22"/>
              </w:rPr>
            </w:pPr>
            <w:r w:rsidRPr="00367756">
              <w:rPr>
                <w:rFonts w:ascii="Calibri" w:hAnsi="Calibri"/>
                <w:b/>
                <w:sz w:val="22"/>
                <w:szCs w:val="22"/>
              </w:rPr>
              <w:t>-32 000 000</w:t>
            </w:r>
          </w:p>
        </w:tc>
      </w:tr>
    </w:tbl>
    <w:p w14:paraId="51347A73" w14:textId="77777777" w:rsidR="00527642" w:rsidRPr="00367756" w:rsidRDefault="00527642" w:rsidP="00A06F71">
      <w:pPr>
        <w:spacing w:line="240" w:lineRule="auto"/>
      </w:pPr>
    </w:p>
    <w:p w14:paraId="51347A74" w14:textId="77777777" w:rsidR="00C22F02" w:rsidRPr="00367756" w:rsidRDefault="00C22F02" w:rsidP="006E191D">
      <w:pPr>
        <w:pStyle w:val="Zhlav"/>
        <w:spacing w:before="120"/>
        <w:rPr>
          <w:rFonts w:ascii="Times New Roman" w:hAnsi="Times New Roman"/>
        </w:rPr>
      </w:pPr>
      <w:r w:rsidRPr="00367756">
        <w:rPr>
          <w:rFonts w:ascii="Times New Roman" w:hAnsi="Times New Roman"/>
        </w:rPr>
        <w:t xml:space="preserve">Rozpočtové prostředky na Výdaje na společné projekty, které jsou zcela nebo částečně financovány z prostředků finančních mechanismů kapitoly 334 – Ministerstvo kultury na rok 2016 nejsou požadovány. Stávající projekty budou financovány z nároků z nespotřebovaných </w:t>
      </w:r>
      <w:r w:rsidRPr="00367756">
        <w:rPr>
          <w:rFonts w:ascii="Times New Roman" w:hAnsi="Times New Roman"/>
        </w:rPr>
        <w:lastRenderedPageBreak/>
        <w:t xml:space="preserve">výdajů, další požadavky na rozpočtové prostředky </w:t>
      </w:r>
      <w:r w:rsidR="00D1263B" w:rsidRPr="00367756">
        <w:rPr>
          <w:rFonts w:ascii="Times New Roman" w:hAnsi="Times New Roman"/>
        </w:rPr>
        <w:t>jsou</w:t>
      </w:r>
      <w:r w:rsidRPr="00367756">
        <w:rPr>
          <w:rFonts w:ascii="Times New Roman" w:hAnsi="Times New Roman"/>
        </w:rPr>
        <w:t xml:space="preserve"> zahrnuty do střednědobého výhledu na</w:t>
      </w:r>
      <w:r w:rsidR="00D152F9" w:rsidRPr="00367756">
        <w:rPr>
          <w:rFonts w:ascii="Times New Roman" w:hAnsi="Times New Roman"/>
        </w:rPr>
        <w:t> </w:t>
      </w:r>
      <w:r w:rsidRPr="00367756">
        <w:rPr>
          <w:rFonts w:ascii="Times New Roman" w:hAnsi="Times New Roman"/>
        </w:rPr>
        <w:t>roky 2017 a 2018.</w:t>
      </w:r>
    </w:p>
    <w:p w14:paraId="51347A75" w14:textId="77777777" w:rsidR="0070256C" w:rsidRPr="00367756" w:rsidRDefault="00C22F02" w:rsidP="006E191D">
      <w:pPr>
        <w:spacing w:before="120" w:line="240" w:lineRule="auto"/>
        <w:rPr>
          <w:rFonts w:ascii="Times New Roman" w:hAnsi="Times New Roman"/>
        </w:rPr>
      </w:pPr>
      <w:r w:rsidRPr="00367756">
        <w:rPr>
          <w:rFonts w:ascii="Times New Roman" w:hAnsi="Times New Roman"/>
        </w:rPr>
        <w:t>Výdaje jsou podrobně rozepsány na Formuláři č. 9/3.</w:t>
      </w:r>
    </w:p>
    <w:p w14:paraId="51347A76" w14:textId="77777777" w:rsidR="00C22F02" w:rsidRPr="00367756" w:rsidRDefault="00C22F02" w:rsidP="00A06F71">
      <w:pPr>
        <w:spacing w:line="240" w:lineRule="auto"/>
        <w:rPr>
          <w:rFonts w:ascii="Times New Roman" w:hAnsi="Times New Roman"/>
        </w:rPr>
      </w:pPr>
    </w:p>
    <w:p w14:paraId="51347A77" w14:textId="77777777" w:rsidR="00C22F02" w:rsidRPr="00367756" w:rsidRDefault="005E5D9A" w:rsidP="00606F43">
      <w:pPr>
        <w:pStyle w:val="Nadpis2"/>
      </w:pPr>
      <w:bookmarkStart w:id="24" w:name="_Toc431911996"/>
      <w:r w:rsidRPr="00367756">
        <w:t>C</w:t>
      </w:r>
      <w:r w:rsidR="00C22F02" w:rsidRPr="00367756">
        <w:t>. IV.</w:t>
      </w:r>
      <w:r w:rsidR="00C22F02" w:rsidRPr="00367756">
        <w:tab/>
        <w:t>Realizace opatření, priorit a postupů při prosazování rovnosti mužů a žen</w:t>
      </w:r>
      <w:bookmarkEnd w:id="24"/>
    </w:p>
    <w:p w14:paraId="51347A78" w14:textId="77777777" w:rsidR="00C22F02" w:rsidRPr="00367756" w:rsidRDefault="00C22F02" w:rsidP="00B813A6">
      <w:pPr>
        <w:spacing w:line="240" w:lineRule="auto"/>
      </w:pPr>
    </w:p>
    <w:p w14:paraId="51347A79" w14:textId="77777777" w:rsidR="00C22F02" w:rsidRPr="00367756" w:rsidRDefault="00654D99" w:rsidP="00A06F71">
      <w:pPr>
        <w:spacing w:line="240" w:lineRule="auto"/>
        <w:rPr>
          <w:rFonts w:ascii="Times New Roman" w:hAnsi="Times New Roman"/>
        </w:rPr>
      </w:pPr>
      <w:r>
        <w:rPr>
          <w:rFonts w:ascii="Times New Roman" w:hAnsi="Times New Roman"/>
        </w:rPr>
        <w:t xml:space="preserve">Ministerstvo kultury nemá ve schváleném </w:t>
      </w:r>
      <w:r w:rsidR="00C22F02" w:rsidRPr="00367756">
        <w:rPr>
          <w:rFonts w:ascii="Times New Roman" w:hAnsi="Times New Roman"/>
        </w:rPr>
        <w:t>rozpočtu na rok 201</w:t>
      </w:r>
      <w:r w:rsidR="002621F3" w:rsidRPr="00367756">
        <w:rPr>
          <w:rFonts w:ascii="Times New Roman" w:hAnsi="Times New Roman"/>
        </w:rPr>
        <w:t>6</w:t>
      </w:r>
      <w:r w:rsidR="00C22F02" w:rsidRPr="00367756">
        <w:rPr>
          <w:rFonts w:ascii="Times New Roman" w:hAnsi="Times New Roman"/>
        </w:rPr>
        <w:t xml:space="preserve"> stanoveny konkrétní dotační programy, které by speciálně řešily problematiku podpory rovných příležitostí mužů a žen. Kultura plní důležitou sociální funkci i tím, že přispívá k sebepoznání jedinců jako svobodných individualit i k jejich uplatnění ve společnosti, ve které žijí. V rámci dotační politiky ministerstvo podporuje kulturní aktivity zaměřené na rovné příležitosti žen a mužů v rámci kulturní tvorby a za změnu vnímání historicky podmíněných rozdílů mezi občany z hlediska sociálního rodu. V rámci grantové politiky také podporuje výzkum společenských jevů, které vedou k diskriminaci žen v kultuře, případně k ohrožení jejich důstojnosti.</w:t>
      </w:r>
    </w:p>
    <w:p w14:paraId="51347A7A" w14:textId="77777777" w:rsidR="00C658CA" w:rsidRPr="00BF4420" w:rsidRDefault="00C658CA">
      <w:pPr>
        <w:spacing w:after="200"/>
        <w:jc w:val="left"/>
        <w:rPr>
          <w:rFonts w:ascii="Times New Roman" w:hAnsi="Times New Roman"/>
          <w:lang w:eastAsia="en-US"/>
        </w:rPr>
      </w:pPr>
      <w:r w:rsidRPr="004B2545">
        <w:rPr>
          <w:rFonts w:ascii="Times New Roman" w:hAnsi="Times New Roman"/>
          <w:color w:val="365F91" w:themeColor="accent1" w:themeShade="BF"/>
          <w:lang w:eastAsia="en-US"/>
        </w:rPr>
        <w:br w:type="page"/>
      </w:r>
    </w:p>
    <w:p w14:paraId="51347A7B" w14:textId="77777777" w:rsidR="005E5D9A" w:rsidRDefault="005E5D9A" w:rsidP="00B016A1">
      <w:pPr>
        <w:pStyle w:val="Nadpis1"/>
        <w:ind w:left="284" w:hanging="284"/>
        <w:rPr>
          <w:rFonts w:ascii="Times New Roman" w:hAnsi="Times New Roman" w:cs="Times New Roman"/>
          <w:color w:val="auto"/>
        </w:rPr>
      </w:pPr>
      <w:bookmarkStart w:id="25" w:name="_Toc431911997"/>
      <w:r>
        <w:rPr>
          <w:rFonts w:ascii="Times New Roman" w:hAnsi="Times New Roman" w:cs="Times New Roman"/>
          <w:color w:val="auto"/>
        </w:rPr>
        <w:lastRenderedPageBreak/>
        <w:t>D</w:t>
      </w:r>
      <w:r w:rsidRPr="00E96118">
        <w:rPr>
          <w:rFonts w:ascii="Times New Roman" w:hAnsi="Times New Roman" w:cs="Times New Roman"/>
          <w:color w:val="auto"/>
        </w:rPr>
        <w:t xml:space="preserve">. </w:t>
      </w:r>
      <w:r>
        <w:rPr>
          <w:rFonts w:ascii="Times New Roman" w:hAnsi="Times New Roman" w:cs="Times New Roman"/>
          <w:color w:val="auto"/>
        </w:rPr>
        <w:t>ROZVEDENÍ VÝDAJŮ VE STRUKTUŘE BLOKŮ A OKRUHŮ</w:t>
      </w:r>
      <w:bookmarkEnd w:id="25"/>
    </w:p>
    <w:p w14:paraId="51347A7C" w14:textId="77777777" w:rsidR="00B016A1" w:rsidRPr="00B016A1" w:rsidRDefault="00B016A1" w:rsidP="00B016A1">
      <w:pPr>
        <w:rPr>
          <w:lang w:eastAsia="en-US"/>
        </w:rPr>
      </w:pPr>
    </w:p>
    <w:tbl>
      <w:tblPr>
        <w:tblW w:w="9371" w:type="dxa"/>
        <w:tblInd w:w="55" w:type="dxa"/>
        <w:tblCellMar>
          <w:left w:w="70" w:type="dxa"/>
          <w:right w:w="70" w:type="dxa"/>
        </w:tblCellMar>
        <w:tblLook w:val="04A0" w:firstRow="1" w:lastRow="0" w:firstColumn="1" w:lastColumn="0" w:noHBand="0" w:noVBand="1"/>
      </w:tblPr>
      <w:tblGrid>
        <w:gridCol w:w="1008"/>
        <w:gridCol w:w="1240"/>
        <w:gridCol w:w="5422"/>
        <w:gridCol w:w="1701"/>
      </w:tblGrid>
      <w:tr w:rsidR="00B016A1" w:rsidRPr="00B016A1" w14:paraId="51347A80" w14:textId="77777777" w:rsidTr="00B016A1">
        <w:trPr>
          <w:trHeight w:val="600"/>
        </w:trPr>
        <w:tc>
          <w:tcPr>
            <w:tcW w:w="1008" w:type="dxa"/>
            <w:tcBorders>
              <w:top w:val="nil"/>
              <w:left w:val="nil"/>
              <w:bottom w:val="nil"/>
              <w:right w:val="nil"/>
            </w:tcBorders>
            <w:shd w:val="clear" w:color="auto" w:fill="auto"/>
            <w:noWrap/>
            <w:vAlign w:val="center"/>
            <w:hideMark/>
          </w:tcPr>
          <w:p w14:paraId="51347A7D" w14:textId="77777777" w:rsidR="00B016A1" w:rsidRPr="00B016A1" w:rsidRDefault="00B016A1" w:rsidP="00B016A1">
            <w:pPr>
              <w:spacing w:line="240" w:lineRule="auto"/>
              <w:jc w:val="center"/>
              <w:rPr>
                <w:rFonts w:ascii="Times New Roman" w:hAnsi="Times New Roman"/>
                <w:b/>
                <w:bCs/>
                <w:color w:val="000000"/>
                <w:sz w:val="26"/>
                <w:szCs w:val="26"/>
              </w:rPr>
            </w:pPr>
            <w:r w:rsidRPr="00B016A1">
              <w:rPr>
                <w:rFonts w:ascii="Times New Roman" w:hAnsi="Times New Roman"/>
                <w:b/>
                <w:bCs/>
                <w:color w:val="000000"/>
                <w:sz w:val="26"/>
                <w:szCs w:val="26"/>
              </w:rPr>
              <w:t>BLOK</w:t>
            </w:r>
          </w:p>
        </w:tc>
        <w:tc>
          <w:tcPr>
            <w:tcW w:w="6662" w:type="dxa"/>
            <w:gridSpan w:val="2"/>
            <w:tcBorders>
              <w:top w:val="nil"/>
              <w:left w:val="nil"/>
              <w:bottom w:val="nil"/>
              <w:right w:val="nil"/>
            </w:tcBorders>
            <w:shd w:val="clear" w:color="auto" w:fill="auto"/>
            <w:noWrap/>
            <w:vAlign w:val="center"/>
            <w:hideMark/>
          </w:tcPr>
          <w:p w14:paraId="51347A7E" w14:textId="77777777" w:rsidR="00B016A1" w:rsidRPr="00B016A1" w:rsidRDefault="00B016A1" w:rsidP="00B016A1">
            <w:pPr>
              <w:spacing w:line="240" w:lineRule="auto"/>
              <w:jc w:val="left"/>
              <w:rPr>
                <w:rFonts w:ascii="Times New Roman" w:hAnsi="Times New Roman"/>
                <w:b/>
                <w:bCs/>
                <w:color w:val="000000"/>
                <w:sz w:val="26"/>
                <w:szCs w:val="26"/>
              </w:rPr>
            </w:pPr>
            <w:r w:rsidRPr="00B016A1">
              <w:rPr>
                <w:rFonts w:ascii="Times New Roman" w:hAnsi="Times New Roman"/>
                <w:b/>
                <w:bCs/>
                <w:color w:val="000000"/>
                <w:sz w:val="26"/>
                <w:szCs w:val="26"/>
              </w:rPr>
              <w:t>Výdaje na výzkum, vývoj a inovace celkem</w:t>
            </w:r>
          </w:p>
        </w:tc>
        <w:tc>
          <w:tcPr>
            <w:tcW w:w="1701" w:type="dxa"/>
            <w:tcBorders>
              <w:top w:val="nil"/>
              <w:left w:val="nil"/>
              <w:bottom w:val="nil"/>
              <w:right w:val="nil"/>
            </w:tcBorders>
            <w:shd w:val="clear" w:color="auto" w:fill="auto"/>
            <w:noWrap/>
            <w:vAlign w:val="center"/>
            <w:hideMark/>
          </w:tcPr>
          <w:p w14:paraId="51347A7F" w14:textId="77777777" w:rsidR="00B016A1" w:rsidRPr="00B016A1" w:rsidRDefault="00B016A1" w:rsidP="00B016A1">
            <w:pPr>
              <w:spacing w:line="240" w:lineRule="auto"/>
              <w:jc w:val="right"/>
              <w:rPr>
                <w:rFonts w:ascii="Times New Roman" w:hAnsi="Times New Roman"/>
                <w:b/>
                <w:bCs/>
                <w:color w:val="000000"/>
                <w:sz w:val="26"/>
                <w:szCs w:val="26"/>
              </w:rPr>
            </w:pPr>
            <w:r w:rsidRPr="00B016A1">
              <w:rPr>
                <w:rFonts w:ascii="Times New Roman" w:hAnsi="Times New Roman"/>
                <w:b/>
                <w:bCs/>
                <w:color w:val="000000"/>
                <w:sz w:val="26"/>
                <w:szCs w:val="26"/>
              </w:rPr>
              <w:t>512 223 000</w:t>
            </w:r>
          </w:p>
        </w:tc>
      </w:tr>
      <w:tr w:rsidR="00B016A1" w:rsidRPr="00B016A1" w14:paraId="51347A85" w14:textId="77777777" w:rsidTr="00B016A1">
        <w:trPr>
          <w:trHeight w:val="619"/>
        </w:trPr>
        <w:tc>
          <w:tcPr>
            <w:tcW w:w="1008" w:type="dxa"/>
            <w:tcBorders>
              <w:top w:val="nil"/>
              <w:left w:val="nil"/>
              <w:bottom w:val="nil"/>
              <w:right w:val="nil"/>
            </w:tcBorders>
            <w:shd w:val="clear" w:color="auto" w:fill="auto"/>
            <w:noWrap/>
            <w:vAlign w:val="bottom"/>
            <w:hideMark/>
          </w:tcPr>
          <w:p w14:paraId="51347A81"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bottom"/>
            <w:hideMark/>
          </w:tcPr>
          <w:p w14:paraId="51347A82"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501001</w:t>
            </w:r>
          </w:p>
        </w:tc>
        <w:tc>
          <w:tcPr>
            <w:tcW w:w="5422" w:type="dxa"/>
            <w:tcBorders>
              <w:top w:val="nil"/>
              <w:left w:val="nil"/>
              <w:bottom w:val="nil"/>
              <w:right w:val="nil"/>
            </w:tcBorders>
            <w:shd w:val="clear" w:color="auto" w:fill="auto"/>
            <w:noWrap/>
            <w:vAlign w:val="bottom"/>
            <w:hideMark/>
          </w:tcPr>
          <w:p w14:paraId="51347A83"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Výdaje na výzkum, vývoj a inovace celkem</w:t>
            </w:r>
          </w:p>
        </w:tc>
        <w:tc>
          <w:tcPr>
            <w:tcW w:w="1701" w:type="dxa"/>
            <w:tcBorders>
              <w:top w:val="nil"/>
              <w:left w:val="nil"/>
              <w:bottom w:val="nil"/>
              <w:right w:val="nil"/>
            </w:tcBorders>
            <w:shd w:val="clear" w:color="auto" w:fill="auto"/>
            <w:noWrap/>
            <w:vAlign w:val="bottom"/>
            <w:hideMark/>
          </w:tcPr>
          <w:p w14:paraId="51347A84"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512 223 000</w:t>
            </w:r>
          </w:p>
        </w:tc>
      </w:tr>
      <w:tr w:rsidR="00B016A1" w:rsidRPr="00B016A1" w14:paraId="51347A8A" w14:textId="77777777" w:rsidTr="00B016A1">
        <w:trPr>
          <w:trHeight w:val="360"/>
        </w:trPr>
        <w:tc>
          <w:tcPr>
            <w:tcW w:w="1008" w:type="dxa"/>
            <w:tcBorders>
              <w:top w:val="nil"/>
              <w:left w:val="nil"/>
              <w:bottom w:val="nil"/>
              <w:right w:val="nil"/>
            </w:tcBorders>
            <w:shd w:val="clear" w:color="auto" w:fill="auto"/>
            <w:noWrap/>
            <w:vAlign w:val="center"/>
            <w:hideMark/>
          </w:tcPr>
          <w:p w14:paraId="51347A86"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 xml:space="preserve">v tom: </w:t>
            </w:r>
          </w:p>
        </w:tc>
        <w:tc>
          <w:tcPr>
            <w:tcW w:w="1240" w:type="dxa"/>
            <w:tcBorders>
              <w:top w:val="nil"/>
              <w:left w:val="nil"/>
              <w:bottom w:val="nil"/>
              <w:right w:val="nil"/>
            </w:tcBorders>
            <w:shd w:val="clear" w:color="auto" w:fill="auto"/>
            <w:noWrap/>
            <w:vAlign w:val="center"/>
            <w:hideMark/>
          </w:tcPr>
          <w:p w14:paraId="51347A87"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1100000</w:t>
            </w:r>
          </w:p>
        </w:tc>
        <w:tc>
          <w:tcPr>
            <w:tcW w:w="5422" w:type="dxa"/>
            <w:tcBorders>
              <w:top w:val="nil"/>
              <w:left w:val="nil"/>
              <w:bottom w:val="nil"/>
              <w:right w:val="nil"/>
            </w:tcBorders>
            <w:shd w:val="clear" w:color="auto" w:fill="auto"/>
            <w:noWrap/>
            <w:vAlign w:val="center"/>
            <w:hideMark/>
          </w:tcPr>
          <w:p w14:paraId="51347A88"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zdroj SR - základní</w:t>
            </w:r>
          </w:p>
        </w:tc>
        <w:tc>
          <w:tcPr>
            <w:tcW w:w="1701" w:type="dxa"/>
            <w:tcBorders>
              <w:top w:val="nil"/>
              <w:left w:val="nil"/>
              <w:bottom w:val="nil"/>
              <w:right w:val="nil"/>
            </w:tcBorders>
            <w:shd w:val="clear" w:color="auto" w:fill="auto"/>
            <w:noWrap/>
            <w:vAlign w:val="center"/>
            <w:hideMark/>
          </w:tcPr>
          <w:p w14:paraId="51347A89"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512 223 000</w:t>
            </w:r>
          </w:p>
        </w:tc>
      </w:tr>
      <w:tr w:rsidR="00B016A1" w:rsidRPr="00B016A1" w14:paraId="51347A8F"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A8B"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Paragraf</w:t>
            </w:r>
          </w:p>
        </w:tc>
        <w:tc>
          <w:tcPr>
            <w:tcW w:w="1240" w:type="dxa"/>
            <w:tcBorders>
              <w:top w:val="single" w:sz="4" w:space="0" w:color="auto"/>
              <w:left w:val="nil"/>
              <w:bottom w:val="nil"/>
              <w:right w:val="dashed" w:sz="4" w:space="0" w:color="auto"/>
            </w:tcBorders>
            <w:shd w:val="clear" w:color="auto" w:fill="auto"/>
            <w:vAlign w:val="center"/>
            <w:hideMark/>
          </w:tcPr>
          <w:p w14:paraId="51347A8C"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A8D"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A8E"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A94"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A90"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338010</w:t>
            </w:r>
          </w:p>
        </w:tc>
        <w:tc>
          <w:tcPr>
            <w:tcW w:w="1240" w:type="dxa"/>
            <w:tcBorders>
              <w:top w:val="dashed" w:sz="4" w:space="0" w:color="auto"/>
              <w:left w:val="nil"/>
              <w:bottom w:val="dashed" w:sz="4" w:space="0" w:color="auto"/>
              <w:right w:val="dashed" w:sz="4" w:space="0" w:color="auto"/>
            </w:tcBorders>
            <w:shd w:val="clear" w:color="auto" w:fill="auto"/>
            <w:noWrap/>
            <w:vAlign w:val="center"/>
            <w:hideMark/>
          </w:tcPr>
          <w:p w14:paraId="51347A9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dashed" w:sz="4" w:space="0" w:color="auto"/>
              <w:left w:val="nil"/>
              <w:bottom w:val="dashed" w:sz="4" w:space="0" w:color="auto"/>
              <w:right w:val="dashed" w:sz="4" w:space="0" w:color="auto"/>
            </w:tcBorders>
            <w:shd w:val="clear" w:color="auto" w:fill="auto"/>
            <w:noWrap/>
            <w:vAlign w:val="center"/>
            <w:hideMark/>
          </w:tcPr>
          <w:p w14:paraId="51347A92"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A93"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84 880 000</w:t>
            </w:r>
          </w:p>
        </w:tc>
      </w:tr>
      <w:tr w:rsidR="00B016A1" w:rsidRPr="00B016A1" w14:paraId="51347A98" w14:textId="77777777" w:rsidTr="00B016A1">
        <w:trPr>
          <w:trHeight w:val="559"/>
        </w:trPr>
        <w:tc>
          <w:tcPr>
            <w:tcW w:w="1008" w:type="dxa"/>
            <w:tcBorders>
              <w:top w:val="nil"/>
              <w:left w:val="single" w:sz="4" w:space="0" w:color="auto"/>
              <w:bottom w:val="nil"/>
              <w:right w:val="dashed" w:sz="4" w:space="0" w:color="auto"/>
            </w:tcBorders>
            <w:shd w:val="clear" w:color="auto" w:fill="auto"/>
            <w:noWrap/>
            <w:vAlign w:val="center"/>
            <w:hideMark/>
          </w:tcPr>
          <w:p w14:paraId="51347A95"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338010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A96"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Výzkum a vývoj v oblasti kultury, církví a sděl. prostředků (Institucionální podpora výzkumných organizací)</w:t>
            </w:r>
          </w:p>
        </w:tc>
        <w:tc>
          <w:tcPr>
            <w:tcW w:w="1701" w:type="dxa"/>
            <w:tcBorders>
              <w:top w:val="nil"/>
              <w:left w:val="nil"/>
              <w:bottom w:val="nil"/>
              <w:right w:val="single" w:sz="4" w:space="0" w:color="auto"/>
            </w:tcBorders>
            <w:shd w:val="clear" w:color="auto" w:fill="auto"/>
            <w:noWrap/>
            <w:vAlign w:val="center"/>
            <w:hideMark/>
          </w:tcPr>
          <w:p w14:paraId="51347A97"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84 880 000</w:t>
            </w:r>
          </w:p>
        </w:tc>
      </w:tr>
      <w:tr w:rsidR="00B016A1" w:rsidRPr="00B016A1" w14:paraId="51347A9D"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A99"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338019</w:t>
            </w:r>
          </w:p>
        </w:tc>
        <w:tc>
          <w:tcPr>
            <w:tcW w:w="1240" w:type="dxa"/>
            <w:tcBorders>
              <w:top w:val="nil"/>
              <w:left w:val="nil"/>
              <w:bottom w:val="nil"/>
              <w:right w:val="dashed" w:sz="4" w:space="0" w:color="auto"/>
            </w:tcBorders>
            <w:shd w:val="clear" w:color="auto" w:fill="auto"/>
            <w:noWrap/>
            <w:vAlign w:val="center"/>
            <w:hideMark/>
          </w:tcPr>
          <w:p w14:paraId="51347A9A"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502</w:t>
            </w:r>
          </w:p>
        </w:tc>
        <w:tc>
          <w:tcPr>
            <w:tcW w:w="5422" w:type="dxa"/>
            <w:tcBorders>
              <w:top w:val="nil"/>
              <w:left w:val="nil"/>
              <w:bottom w:val="nil"/>
              <w:right w:val="dashed" w:sz="4" w:space="0" w:color="auto"/>
            </w:tcBorders>
            <w:shd w:val="clear" w:color="auto" w:fill="auto"/>
            <w:noWrap/>
            <w:vAlign w:val="center"/>
            <w:hideMark/>
          </w:tcPr>
          <w:p w14:paraId="51347A9B"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Ostatní platby za provedenou práci</w:t>
            </w:r>
          </w:p>
        </w:tc>
        <w:tc>
          <w:tcPr>
            <w:tcW w:w="1701" w:type="dxa"/>
            <w:tcBorders>
              <w:top w:val="dashed" w:sz="4" w:space="0" w:color="auto"/>
              <w:left w:val="nil"/>
              <w:bottom w:val="nil"/>
              <w:right w:val="single" w:sz="4" w:space="0" w:color="auto"/>
            </w:tcBorders>
            <w:shd w:val="clear" w:color="auto" w:fill="auto"/>
            <w:noWrap/>
            <w:vAlign w:val="center"/>
            <w:hideMark/>
          </w:tcPr>
          <w:p w14:paraId="51347A9C"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2 091 000</w:t>
            </w:r>
          </w:p>
        </w:tc>
      </w:tr>
      <w:tr w:rsidR="00B016A1" w:rsidRPr="00B016A1" w14:paraId="51347AA2"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A9E"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338019</w:t>
            </w:r>
          </w:p>
        </w:tc>
        <w:tc>
          <w:tcPr>
            <w:tcW w:w="1240" w:type="dxa"/>
            <w:tcBorders>
              <w:top w:val="nil"/>
              <w:left w:val="nil"/>
              <w:bottom w:val="nil"/>
              <w:right w:val="dashed" w:sz="4" w:space="0" w:color="auto"/>
            </w:tcBorders>
            <w:shd w:val="clear" w:color="auto" w:fill="auto"/>
            <w:noWrap/>
            <w:vAlign w:val="center"/>
            <w:hideMark/>
          </w:tcPr>
          <w:p w14:paraId="51347A9F"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503</w:t>
            </w:r>
          </w:p>
        </w:tc>
        <w:tc>
          <w:tcPr>
            <w:tcW w:w="5422" w:type="dxa"/>
            <w:tcBorders>
              <w:top w:val="nil"/>
              <w:left w:val="nil"/>
              <w:bottom w:val="nil"/>
              <w:right w:val="dashed" w:sz="4" w:space="0" w:color="auto"/>
            </w:tcBorders>
            <w:shd w:val="clear" w:color="auto" w:fill="auto"/>
            <w:noWrap/>
            <w:vAlign w:val="center"/>
            <w:hideMark/>
          </w:tcPr>
          <w:p w14:paraId="51347AA0"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Povinné pojistné placené zaměstnavatelem</w:t>
            </w:r>
          </w:p>
        </w:tc>
        <w:tc>
          <w:tcPr>
            <w:tcW w:w="1701" w:type="dxa"/>
            <w:tcBorders>
              <w:top w:val="nil"/>
              <w:left w:val="nil"/>
              <w:bottom w:val="nil"/>
              <w:right w:val="single" w:sz="4" w:space="0" w:color="auto"/>
            </w:tcBorders>
            <w:shd w:val="clear" w:color="auto" w:fill="auto"/>
            <w:noWrap/>
            <w:vAlign w:val="center"/>
            <w:hideMark/>
          </w:tcPr>
          <w:p w14:paraId="51347AA1"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200 000</w:t>
            </w:r>
          </w:p>
        </w:tc>
      </w:tr>
      <w:tr w:rsidR="00B016A1" w:rsidRPr="00B016A1" w14:paraId="51347AA7"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AA3"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338019</w:t>
            </w:r>
          </w:p>
        </w:tc>
        <w:tc>
          <w:tcPr>
            <w:tcW w:w="1240" w:type="dxa"/>
            <w:tcBorders>
              <w:top w:val="nil"/>
              <w:left w:val="nil"/>
              <w:bottom w:val="nil"/>
              <w:right w:val="dashed" w:sz="4" w:space="0" w:color="auto"/>
            </w:tcBorders>
            <w:shd w:val="clear" w:color="auto" w:fill="auto"/>
            <w:noWrap/>
            <w:vAlign w:val="center"/>
            <w:hideMark/>
          </w:tcPr>
          <w:p w14:paraId="51347AA4"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516</w:t>
            </w:r>
          </w:p>
        </w:tc>
        <w:tc>
          <w:tcPr>
            <w:tcW w:w="5422" w:type="dxa"/>
            <w:tcBorders>
              <w:top w:val="nil"/>
              <w:left w:val="nil"/>
              <w:bottom w:val="nil"/>
              <w:right w:val="dashed" w:sz="4" w:space="0" w:color="auto"/>
            </w:tcBorders>
            <w:shd w:val="clear" w:color="auto" w:fill="auto"/>
            <w:noWrap/>
            <w:vAlign w:val="center"/>
            <w:hideMark/>
          </w:tcPr>
          <w:p w14:paraId="51347AA5"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Nákup služeb</w:t>
            </w:r>
          </w:p>
        </w:tc>
        <w:tc>
          <w:tcPr>
            <w:tcW w:w="1701" w:type="dxa"/>
            <w:tcBorders>
              <w:top w:val="nil"/>
              <w:left w:val="nil"/>
              <w:bottom w:val="nil"/>
              <w:right w:val="single" w:sz="4" w:space="0" w:color="auto"/>
            </w:tcBorders>
            <w:shd w:val="clear" w:color="auto" w:fill="auto"/>
            <w:noWrap/>
            <w:vAlign w:val="center"/>
            <w:hideMark/>
          </w:tcPr>
          <w:p w14:paraId="51347AA6"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2 000</w:t>
            </w:r>
          </w:p>
        </w:tc>
      </w:tr>
      <w:tr w:rsidR="00B016A1" w:rsidRPr="00B016A1" w14:paraId="51347AAC"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AA8"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338019</w:t>
            </w:r>
          </w:p>
        </w:tc>
        <w:tc>
          <w:tcPr>
            <w:tcW w:w="1240" w:type="dxa"/>
            <w:tcBorders>
              <w:top w:val="nil"/>
              <w:left w:val="nil"/>
              <w:bottom w:val="dashed" w:sz="4" w:space="0" w:color="auto"/>
              <w:right w:val="dashed" w:sz="4" w:space="0" w:color="auto"/>
            </w:tcBorders>
            <w:shd w:val="clear" w:color="auto" w:fill="auto"/>
            <w:noWrap/>
            <w:vAlign w:val="center"/>
            <w:hideMark/>
          </w:tcPr>
          <w:p w14:paraId="51347AA9"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517</w:t>
            </w:r>
          </w:p>
        </w:tc>
        <w:tc>
          <w:tcPr>
            <w:tcW w:w="5422" w:type="dxa"/>
            <w:tcBorders>
              <w:top w:val="nil"/>
              <w:left w:val="nil"/>
              <w:bottom w:val="dashed" w:sz="4" w:space="0" w:color="auto"/>
              <w:right w:val="dashed" w:sz="4" w:space="0" w:color="auto"/>
            </w:tcBorders>
            <w:shd w:val="clear" w:color="auto" w:fill="auto"/>
            <w:noWrap/>
            <w:vAlign w:val="center"/>
            <w:hideMark/>
          </w:tcPr>
          <w:p w14:paraId="51347AAA"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Ostatní nákupy</w:t>
            </w:r>
          </w:p>
        </w:tc>
        <w:tc>
          <w:tcPr>
            <w:tcW w:w="1701" w:type="dxa"/>
            <w:tcBorders>
              <w:top w:val="nil"/>
              <w:left w:val="nil"/>
              <w:bottom w:val="dashed" w:sz="4" w:space="0" w:color="auto"/>
              <w:right w:val="single" w:sz="4" w:space="0" w:color="auto"/>
            </w:tcBorders>
            <w:shd w:val="clear" w:color="auto" w:fill="auto"/>
            <w:noWrap/>
            <w:vAlign w:val="center"/>
            <w:hideMark/>
          </w:tcPr>
          <w:p w14:paraId="51347AAB"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50 000</w:t>
            </w:r>
          </w:p>
        </w:tc>
      </w:tr>
      <w:tr w:rsidR="00B016A1" w:rsidRPr="00B016A1" w14:paraId="51347AB0" w14:textId="77777777" w:rsidTr="00B016A1">
        <w:trPr>
          <w:trHeight w:val="559"/>
        </w:trPr>
        <w:tc>
          <w:tcPr>
            <w:tcW w:w="1008" w:type="dxa"/>
            <w:tcBorders>
              <w:top w:val="nil"/>
              <w:left w:val="single" w:sz="4" w:space="0" w:color="auto"/>
              <w:bottom w:val="nil"/>
              <w:right w:val="dashed" w:sz="4" w:space="0" w:color="auto"/>
            </w:tcBorders>
            <w:shd w:val="clear" w:color="auto" w:fill="auto"/>
            <w:noWrap/>
            <w:vAlign w:val="center"/>
            <w:hideMark/>
          </w:tcPr>
          <w:p w14:paraId="51347AAD"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338019</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AAE"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Výzkum a vývoj v oblasti kultury, církví a sděl. prostředků (Ostatní institucionální podpora)</w:t>
            </w:r>
          </w:p>
        </w:tc>
        <w:tc>
          <w:tcPr>
            <w:tcW w:w="1701" w:type="dxa"/>
            <w:tcBorders>
              <w:top w:val="nil"/>
              <w:left w:val="nil"/>
              <w:bottom w:val="nil"/>
              <w:right w:val="single" w:sz="4" w:space="0" w:color="auto"/>
            </w:tcBorders>
            <w:shd w:val="clear" w:color="auto" w:fill="auto"/>
            <w:noWrap/>
            <w:vAlign w:val="center"/>
            <w:hideMark/>
          </w:tcPr>
          <w:p w14:paraId="51347AAF"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2 343 000</w:t>
            </w:r>
          </w:p>
        </w:tc>
      </w:tr>
      <w:tr w:rsidR="00B016A1" w:rsidRPr="00B016A1" w14:paraId="51347AB5"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AB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338020</w:t>
            </w:r>
          </w:p>
        </w:tc>
        <w:tc>
          <w:tcPr>
            <w:tcW w:w="1240" w:type="dxa"/>
            <w:tcBorders>
              <w:top w:val="nil"/>
              <w:left w:val="nil"/>
              <w:bottom w:val="nil"/>
              <w:right w:val="dashed" w:sz="4" w:space="0" w:color="auto"/>
            </w:tcBorders>
            <w:shd w:val="clear" w:color="auto" w:fill="auto"/>
            <w:noWrap/>
            <w:vAlign w:val="center"/>
            <w:hideMark/>
          </w:tcPr>
          <w:p w14:paraId="51347AB2"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nil"/>
              <w:left w:val="nil"/>
              <w:bottom w:val="nil"/>
              <w:right w:val="dashed" w:sz="4" w:space="0" w:color="auto"/>
            </w:tcBorders>
            <w:shd w:val="clear" w:color="auto" w:fill="auto"/>
            <w:noWrap/>
            <w:vAlign w:val="center"/>
            <w:hideMark/>
          </w:tcPr>
          <w:p w14:paraId="51347AB3"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dashed" w:sz="4" w:space="0" w:color="auto"/>
              <w:left w:val="nil"/>
              <w:bottom w:val="nil"/>
              <w:right w:val="single" w:sz="4" w:space="0" w:color="auto"/>
            </w:tcBorders>
            <w:shd w:val="clear" w:color="auto" w:fill="auto"/>
            <w:noWrap/>
            <w:vAlign w:val="center"/>
            <w:hideMark/>
          </w:tcPr>
          <w:p w14:paraId="51347AB4"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998 000</w:t>
            </w:r>
          </w:p>
        </w:tc>
      </w:tr>
      <w:tr w:rsidR="00B016A1" w:rsidRPr="00B016A1" w14:paraId="51347ABA"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AB6"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338020</w:t>
            </w:r>
          </w:p>
        </w:tc>
        <w:tc>
          <w:tcPr>
            <w:tcW w:w="1240" w:type="dxa"/>
            <w:tcBorders>
              <w:top w:val="nil"/>
              <w:left w:val="nil"/>
              <w:bottom w:val="nil"/>
              <w:right w:val="dashed" w:sz="4" w:space="0" w:color="auto"/>
            </w:tcBorders>
            <w:shd w:val="clear" w:color="auto" w:fill="auto"/>
            <w:noWrap/>
            <w:vAlign w:val="center"/>
            <w:hideMark/>
          </w:tcPr>
          <w:p w14:paraId="51347AB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nil"/>
              <w:right w:val="dashed" w:sz="4" w:space="0" w:color="auto"/>
            </w:tcBorders>
            <w:shd w:val="clear" w:color="auto" w:fill="auto"/>
            <w:noWrap/>
            <w:vAlign w:val="center"/>
            <w:hideMark/>
          </w:tcPr>
          <w:p w14:paraId="51347AB8"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nil"/>
              <w:left w:val="nil"/>
              <w:bottom w:val="nil"/>
              <w:right w:val="single" w:sz="4" w:space="0" w:color="auto"/>
            </w:tcBorders>
            <w:shd w:val="clear" w:color="auto" w:fill="auto"/>
            <w:noWrap/>
            <w:vAlign w:val="center"/>
            <w:hideMark/>
          </w:tcPr>
          <w:p w14:paraId="51347AB9"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423 342 000</w:t>
            </w:r>
          </w:p>
        </w:tc>
      </w:tr>
      <w:tr w:rsidR="00B016A1" w:rsidRPr="00B016A1" w14:paraId="51347ABF"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ABB"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338020</w:t>
            </w:r>
          </w:p>
        </w:tc>
        <w:tc>
          <w:tcPr>
            <w:tcW w:w="1240" w:type="dxa"/>
            <w:tcBorders>
              <w:top w:val="nil"/>
              <w:left w:val="nil"/>
              <w:bottom w:val="dashed" w:sz="4" w:space="0" w:color="auto"/>
              <w:right w:val="dashed" w:sz="4" w:space="0" w:color="auto"/>
            </w:tcBorders>
            <w:shd w:val="clear" w:color="auto" w:fill="auto"/>
            <w:noWrap/>
            <w:vAlign w:val="center"/>
            <w:hideMark/>
          </w:tcPr>
          <w:p w14:paraId="51347ABC"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635</w:t>
            </w:r>
          </w:p>
        </w:tc>
        <w:tc>
          <w:tcPr>
            <w:tcW w:w="5422" w:type="dxa"/>
            <w:tcBorders>
              <w:top w:val="nil"/>
              <w:left w:val="nil"/>
              <w:bottom w:val="dashed" w:sz="4" w:space="0" w:color="auto"/>
              <w:right w:val="dashed" w:sz="4" w:space="0" w:color="auto"/>
            </w:tcBorders>
            <w:shd w:val="clear" w:color="auto" w:fill="auto"/>
            <w:noWrap/>
            <w:vAlign w:val="center"/>
            <w:hideMark/>
          </w:tcPr>
          <w:p w14:paraId="51347ABD"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Investiční transfery příspěvkovým a podobným organizacím</w:t>
            </w:r>
          </w:p>
        </w:tc>
        <w:tc>
          <w:tcPr>
            <w:tcW w:w="1701" w:type="dxa"/>
            <w:tcBorders>
              <w:top w:val="nil"/>
              <w:left w:val="nil"/>
              <w:bottom w:val="dashed" w:sz="4" w:space="0" w:color="auto"/>
              <w:right w:val="single" w:sz="4" w:space="0" w:color="auto"/>
            </w:tcBorders>
            <w:shd w:val="clear" w:color="auto" w:fill="auto"/>
            <w:noWrap/>
            <w:vAlign w:val="center"/>
            <w:hideMark/>
          </w:tcPr>
          <w:p w14:paraId="51347ABE"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660 000</w:t>
            </w:r>
          </w:p>
        </w:tc>
      </w:tr>
      <w:tr w:rsidR="00B016A1" w:rsidRPr="00B016A1" w14:paraId="51347AC3" w14:textId="77777777" w:rsidTr="00B016A1">
        <w:trPr>
          <w:trHeight w:val="559"/>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AC0"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338020</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AC1"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Výzkum a vývoj v oblasti kultury, církví a sděl. prostředků (Účelová podpora)</w:t>
            </w:r>
          </w:p>
        </w:tc>
        <w:tc>
          <w:tcPr>
            <w:tcW w:w="1701" w:type="dxa"/>
            <w:tcBorders>
              <w:top w:val="nil"/>
              <w:left w:val="nil"/>
              <w:bottom w:val="single" w:sz="4" w:space="0" w:color="auto"/>
              <w:right w:val="single" w:sz="4" w:space="0" w:color="auto"/>
            </w:tcBorders>
            <w:shd w:val="clear" w:color="auto" w:fill="auto"/>
            <w:noWrap/>
            <w:vAlign w:val="center"/>
            <w:hideMark/>
          </w:tcPr>
          <w:p w14:paraId="51347AC2"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425 000 000</w:t>
            </w:r>
          </w:p>
        </w:tc>
      </w:tr>
      <w:tr w:rsidR="00B016A1" w:rsidRPr="00B016A1" w14:paraId="51347AC8" w14:textId="77777777" w:rsidTr="00B016A1">
        <w:trPr>
          <w:trHeight w:val="600"/>
        </w:trPr>
        <w:tc>
          <w:tcPr>
            <w:tcW w:w="1008" w:type="dxa"/>
            <w:tcBorders>
              <w:top w:val="nil"/>
              <w:left w:val="nil"/>
              <w:bottom w:val="nil"/>
              <w:right w:val="nil"/>
            </w:tcBorders>
            <w:shd w:val="clear" w:color="auto" w:fill="auto"/>
            <w:noWrap/>
            <w:vAlign w:val="center"/>
            <w:hideMark/>
          </w:tcPr>
          <w:p w14:paraId="51347AC4" w14:textId="77777777" w:rsidR="00B016A1" w:rsidRPr="00B016A1" w:rsidRDefault="00B016A1" w:rsidP="00B016A1">
            <w:pPr>
              <w:spacing w:line="240" w:lineRule="auto"/>
              <w:jc w:val="center"/>
              <w:rPr>
                <w:rFonts w:ascii="Times New Roman" w:hAnsi="Times New Roman"/>
                <w:b/>
                <w:bCs/>
                <w:color w:val="000000"/>
                <w:sz w:val="22"/>
                <w:szCs w:val="22"/>
              </w:rPr>
            </w:pPr>
          </w:p>
        </w:tc>
        <w:tc>
          <w:tcPr>
            <w:tcW w:w="1240" w:type="dxa"/>
            <w:tcBorders>
              <w:top w:val="nil"/>
              <w:left w:val="nil"/>
              <w:bottom w:val="nil"/>
              <w:right w:val="nil"/>
            </w:tcBorders>
            <w:shd w:val="clear" w:color="auto" w:fill="auto"/>
            <w:noWrap/>
            <w:vAlign w:val="center"/>
            <w:hideMark/>
          </w:tcPr>
          <w:p w14:paraId="51347AC5" w14:textId="77777777" w:rsidR="00B016A1" w:rsidRPr="00B016A1" w:rsidRDefault="00B016A1" w:rsidP="00B016A1">
            <w:pPr>
              <w:spacing w:line="240" w:lineRule="auto"/>
              <w:jc w:val="left"/>
              <w:rPr>
                <w:rFonts w:ascii="Times New Roman" w:hAnsi="Times New Roman"/>
                <w:b/>
                <w:bCs/>
                <w:color w:val="000000"/>
                <w:sz w:val="22"/>
                <w:szCs w:val="22"/>
              </w:rPr>
            </w:pPr>
          </w:p>
        </w:tc>
        <w:tc>
          <w:tcPr>
            <w:tcW w:w="5422" w:type="dxa"/>
            <w:tcBorders>
              <w:top w:val="nil"/>
              <w:left w:val="nil"/>
              <w:bottom w:val="nil"/>
              <w:right w:val="nil"/>
            </w:tcBorders>
            <w:shd w:val="clear" w:color="auto" w:fill="auto"/>
            <w:noWrap/>
            <w:vAlign w:val="center"/>
            <w:hideMark/>
          </w:tcPr>
          <w:p w14:paraId="51347AC6" w14:textId="77777777" w:rsidR="00B016A1" w:rsidRPr="00B016A1" w:rsidRDefault="00B016A1" w:rsidP="00B016A1">
            <w:pPr>
              <w:spacing w:line="240" w:lineRule="auto"/>
              <w:jc w:val="left"/>
              <w:rPr>
                <w:rFonts w:ascii="Times New Roman" w:hAnsi="Times New Roman"/>
                <w:b/>
                <w:bCs/>
                <w:color w:val="000000"/>
                <w:sz w:val="22"/>
                <w:szCs w:val="22"/>
              </w:rPr>
            </w:pPr>
          </w:p>
        </w:tc>
        <w:tc>
          <w:tcPr>
            <w:tcW w:w="1701" w:type="dxa"/>
            <w:tcBorders>
              <w:top w:val="nil"/>
              <w:left w:val="nil"/>
              <w:bottom w:val="nil"/>
              <w:right w:val="nil"/>
            </w:tcBorders>
            <w:shd w:val="clear" w:color="auto" w:fill="auto"/>
            <w:noWrap/>
            <w:vAlign w:val="center"/>
            <w:hideMark/>
          </w:tcPr>
          <w:p w14:paraId="51347AC7" w14:textId="77777777" w:rsidR="00B016A1" w:rsidRPr="00B016A1" w:rsidRDefault="00B016A1" w:rsidP="00B016A1">
            <w:pPr>
              <w:spacing w:line="240" w:lineRule="auto"/>
              <w:jc w:val="left"/>
              <w:rPr>
                <w:rFonts w:ascii="Times New Roman" w:hAnsi="Times New Roman"/>
                <w:b/>
                <w:bCs/>
                <w:color w:val="000000"/>
                <w:sz w:val="22"/>
                <w:szCs w:val="22"/>
              </w:rPr>
            </w:pPr>
          </w:p>
        </w:tc>
      </w:tr>
      <w:tr w:rsidR="00B016A1" w:rsidRPr="00B016A1" w14:paraId="51347ACC" w14:textId="77777777" w:rsidTr="00B016A1">
        <w:trPr>
          <w:trHeight w:val="600"/>
        </w:trPr>
        <w:tc>
          <w:tcPr>
            <w:tcW w:w="1008" w:type="dxa"/>
            <w:tcBorders>
              <w:top w:val="nil"/>
              <w:left w:val="nil"/>
              <w:bottom w:val="nil"/>
              <w:right w:val="nil"/>
            </w:tcBorders>
            <w:shd w:val="clear" w:color="auto" w:fill="auto"/>
            <w:noWrap/>
            <w:vAlign w:val="center"/>
            <w:hideMark/>
          </w:tcPr>
          <w:p w14:paraId="51347AC9" w14:textId="77777777" w:rsidR="00B016A1" w:rsidRPr="00B016A1" w:rsidRDefault="00B016A1" w:rsidP="00B016A1">
            <w:pPr>
              <w:spacing w:line="240" w:lineRule="auto"/>
              <w:jc w:val="center"/>
              <w:rPr>
                <w:rFonts w:ascii="Times New Roman" w:hAnsi="Times New Roman"/>
                <w:b/>
                <w:bCs/>
                <w:color w:val="000000"/>
                <w:sz w:val="26"/>
                <w:szCs w:val="26"/>
              </w:rPr>
            </w:pPr>
            <w:r w:rsidRPr="00B016A1">
              <w:rPr>
                <w:rFonts w:ascii="Times New Roman" w:hAnsi="Times New Roman"/>
                <w:b/>
                <w:bCs/>
                <w:color w:val="000000"/>
                <w:sz w:val="26"/>
                <w:szCs w:val="26"/>
              </w:rPr>
              <w:t>BLOK</w:t>
            </w:r>
          </w:p>
        </w:tc>
        <w:tc>
          <w:tcPr>
            <w:tcW w:w="6662" w:type="dxa"/>
            <w:gridSpan w:val="2"/>
            <w:tcBorders>
              <w:top w:val="nil"/>
              <w:left w:val="nil"/>
              <w:bottom w:val="nil"/>
              <w:right w:val="nil"/>
            </w:tcBorders>
            <w:shd w:val="clear" w:color="auto" w:fill="auto"/>
            <w:vAlign w:val="center"/>
            <w:hideMark/>
          </w:tcPr>
          <w:p w14:paraId="51347ACA" w14:textId="77777777" w:rsidR="00B016A1" w:rsidRPr="00B016A1" w:rsidRDefault="00B016A1" w:rsidP="00B016A1">
            <w:pPr>
              <w:spacing w:line="240" w:lineRule="auto"/>
              <w:jc w:val="left"/>
              <w:rPr>
                <w:rFonts w:ascii="Times New Roman" w:hAnsi="Times New Roman"/>
                <w:b/>
                <w:bCs/>
                <w:color w:val="000000"/>
                <w:sz w:val="26"/>
                <w:szCs w:val="26"/>
              </w:rPr>
            </w:pPr>
            <w:r w:rsidRPr="00B016A1">
              <w:rPr>
                <w:rFonts w:ascii="Times New Roman" w:hAnsi="Times New Roman"/>
                <w:b/>
                <w:bCs/>
                <w:color w:val="000000"/>
                <w:sz w:val="26"/>
                <w:szCs w:val="26"/>
              </w:rPr>
              <w:t>Výdaje dle zákona o majetkovém vyrovnání s církvemi a náboženskými společnostmi</w:t>
            </w:r>
          </w:p>
        </w:tc>
        <w:tc>
          <w:tcPr>
            <w:tcW w:w="1701" w:type="dxa"/>
            <w:tcBorders>
              <w:top w:val="nil"/>
              <w:left w:val="nil"/>
              <w:bottom w:val="nil"/>
              <w:right w:val="nil"/>
            </w:tcBorders>
            <w:shd w:val="clear" w:color="auto" w:fill="auto"/>
            <w:noWrap/>
            <w:vAlign w:val="center"/>
            <w:hideMark/>
          </w:tcPr>
          <w:p w14:paraId="51347ACB" w14:textId="77777777" w:rsidR="00B016A1" w:rsidRPr="00B016A1" w:rsidRDefault="00B016A1" w:rsidP="00B016A1">
            <w:pPr>
              <w:spacing w:line="240" w:lineRule="auto"/>
              <w:jc w:val="right"/>
              <w:rPr>
                <w:rFonts w:ascii="Times New Roman" w:hAnsi="Times New Roman"/>
                <w:b/>
                <w:bCs/>
                <w:color w:val="000000"/>
                <w:sz w:val="26"/>
                <w:szCs w:val="26"/>
              </w:rPr>
            </w:pPr>
            <w:r w:rsidRPr="00B016A1">
              <w:rPr>
                <w:rFonts w:ascii="Times New Roman" w:hAnsi="Times New Roman"/>
                <w:b/>
                <w:bCs/>
                <w:color w:val="000000"/>
                <w:sz w:val="26"/>
                <w:szCs w:val="26"/>
              </w:rPr>
              <w:t>3 432 776 266</w:t>
            </w:r>
          </w:p>
        </w:tc>
      </w:tr>
      <w:tr w:rsidR="00B016A1" w:rsidRPr="00B016A1" w14:paraId="51347AD1" w14:textId="77777777" w:rsidTr="00B016A1">
        <w:trPr>
          <w:trHeight w:val="619"/>
        </w:trPr>
        <w:tc>
          <w:tcPr>
            <w:tcW w:w="1008" w:type="dxa"/>
            <w:tcBorders>
              <w:top w:val="nil"/>
              <w:left w:val="nil"/>
              <w:bottom w:val="nil"/>
              <w:right w:val="nil"/>
            </w:tcBorders>
            <w:shd w:val="clear" w:color="auto" w:fill="auto"/>
            <w:noWrap/>
            <w:vAlign w:val="bottom"/>
            <w:hideMark/>
          </w:tcPr>
          <w:p w14:paraId="51347ACD"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bottom"/>
            <w:hideMark/>
          </w:tcPr>
          <w:p w14:paraId="51347ACE"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502001</w:t>
            </w:r>
          </w:p>
        </w:tc>
        <w:tc>
          <w:tcPr>
            <w:tcW w:w="5422" w:type="dxa"/>
            <w:tcBorders>
              <w:top w:val="nil"/>
              <w:left w:val="nil"/>
              <w:bottom w:val="nil"/>
              <w:right w:val="nil"/>
            </w:tcBorders>
            <w:shd w:val="clear" w:color="auto" w:fill="auto"/>
            <w:noWrap/>
            <w:vAlign w:val="bottom"/>
            <w:hideMark/>
          </w:tcPr>
          <w:p w14:paraId="51347ACF"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Finanční náhrada</w:t>
            </w:r>
          </w:p>
        </w:tc>
        <w:tc>
          <w:tcPr>
            <w:tcW w:w="1701" w:type="dxa"/>
            <w:tcBorders>
              <w:top w:val="nil"/>
              <w:left w:val="nil"/>
              <w:bottom w:val="nil"/>
              <w:right w:val="nil"/>
            </w:tcBorders>
            <w:shd w:val="clear" w:color="auto" w:fill="auto"/>
            <w:noWrap/>
            <w:vAlign w:val="bottom"/>
            <w:hideMark/>
          </w:tcPr>
          <w:p w14:paraId="51347AD0"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2 060 260 916</w:t>
            </w:r>
          </w:p>
        </w:tc>
      </w:tr>
      <w:tr w:rsidR="00B016A1" w:rsidRPr="00B016A1" w14:paraId="51347AD6" w14:textId="77777777" w:rsidTr="00B016A1">
        <w:trPr>
          <w:trHeight w:val="360"/>
        </w:trPr>
        <w:tc>
          <w:tcPr>
            <w:tcW w:w="1008" w:type="dxa"/>
            <w:tcBorders>
              <w:top w:val="nil"/>
              <w:left w:val="nil"/>
              <w:bottom w:val="nil"/>
              <w:right w:val="nil"/>
            </w:tcBorders>
            <w:shd w:val="clear" w:color="auto" w:fill="auto"/>
            <w:noWrap/>
            <w:vAlign w:val="center"/>
            <w:hideMark/>
          </w:tcPr>
          <w:p w14:paraId="51347AD2"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 xml:space="preserve">v tom: </w:t>
            </w:r>
          </w:p>
        </w:tc>
        <w:tc>
          <w:tcPr>
            <w:tcW w:w="1240" w:type="dxa"/>
            <w:tcBorders>
              <w:top w:val="nil"/>
              <w:left w:val="nil"/>
              <w:bottom w:val="nil"/>
              <w:right w:val="nil"/>
            </w:tcBorders>
            <w:shd w:val="clear" w:color="auto" w:fill="auto"/>
            <w:noWrap/>
            <w:vAlign w:val="center"/>
            <w:hideMark/>
          </w:tcPr>
          <w:p w14:paraId="51347AD3"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1100000</w:t>
            </w:r>
          </w:p>
        </w:tc>
        <w:tc>
          <w:tcPr>
            <w:tcW w:w="5422" w:type="dxa"/>
            <w:tcBorders>
              <w:top w:val="nil"/>
              <w:left w:val="nil"/>
              <w:bottom w:val="nil"/>
              <w:right w:val="nil"/>
            </w:tcBorders>
            <w:shd w:val="clear" w:color="auto" w:fill="auto"/>
            <w:noWrap/>
            <w:vAlign w:val="center"/>
            <w:hideMark/>
          </w:tcPr>
          <w:p w14:paraId="51347AD4"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zdroj SR - základní</w:t>
            </w:r>
          </w:p>
        </w:tc>
        <w:tc>
          <w:tcPr>
            <w:tcW w:w="1701" w:type="dxa"/>
            <w:tcBorders>
              <w:top w:val="nil"/>
              <w:left w:val="nil"/>
              <w:bottom w:val="nil"/>
              <w:right w:val="nil"/>
            </w:tcBorders>
            <w:shd w:val="clear" w:color="auto" w:fill="auto"/>
            <w:noWrap/>
            <w:vAlign w:val="center"/>
            <w:hideMark/>
          </w:tcPr>
          <w:p w14:paraId="51347AD5"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2 060 260 916</w:t>
            </w:r>
          </w:p>
        </w:tc>
      </w:tr>
      <w:tr w:rsidR="00B016A1" w:rsidRPr="00B016A1" w14:paraId="51347ADB"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AD7"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Paragraf</w:t>
            </w:r>
          </w:p>
        </w:tc>
        <w:tc>
          <w:tcPr>
            <w:tcW w:w="1240" w:type="dxa"/>
            <w:tcBorders>
              <w:top w:val="single" w:sz="4" w:space="0" w:color="auto"/>
              <w:left w:val="nil"/>
              <w:bottom w:val="nil"/>
              <w:right w:val="dashed" w:sz="4" w:space="0" w:color="auto"/>
            </w:tcBorders>
            <w:shd w:val="clear" w:color="auto" w:fill="auto"/>
            <w:vAlign w:val="center"/>
            <w:hideMark/>
          </w:tcPr>
          <w:p w14:paraId="51347AD8"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AD9"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ADA"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AE0"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ADC"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333000</w:t>
            </w:r>
          </w:p>
        </w:tc>
        <w:tc>
          <w:tcPr>
            <w:tcW w:w="1240" w:type="dxa"/>
            <w:tcBorders>
              <w:top w:val="dashed" w:sz="4" w:space="0" w:color="auto"/>
              <w:left w:val="nil"/>
              <w:bottom w:val="dashed" w:sz="4" w:space="0" w:color="auto"/>
              <w:right w:val="dashed" w:sz="4" w:space="0" w:color="auto"/>
            </w:tcBorders>
            <w:shd w:val="clear" w:color="auto" w:fill="auto"/>
            <w:noWrap/>
            <w:vAlign w:val="center"/>
            <w:hideMark/>
          </w:tcPr>
          <w:p w14:paraId="51347ADD"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519</w:t>
            </w:r>
          </w:p>
        </w:tc>
        <w:tc>
          <w:tcPr>
            <w:tcW w:w="5422" w:type="dxa"/>
            <w:tcBorders>
              <w:top w:val="dashed" w:sz="4" w:space="0" w:color="auto"/>
              <w:left w:val="nil"/>
              <w:bottom w:val="dashed" w:sz="4" w:space="0" w:color="auto"/>
              <w:right w:val="dashed" w:sz="4" w:space="0" w:color="auto"/>
            </w:tcBorders>
            <w:shd w:val="clear" w:color="auto" w:fill="auto"/>
            <w:noWrap/>
            <w:vAlign w:val="center"/>
            <w:hideMark/>
          </w:tcPr>
          <w:p w14:paraId="51347ADE"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Výdaje související s neinvestičními nákupy, příspěvky, náhrady</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ADF"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2 060 260 916</w:t>
            </w:r>
          </w:p>
        </w:tc>
      </w:tr>
      <w:tr w:rsidR="00B016A1" w:rsidRPr="00B016A1" w14:paraId="51347AE4" w14:textId="77777777" w:rsidTr="00B016A1">
        <w:trPr>
          <w:trHeight w:val="559"/>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AE1"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333000</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AE2"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Činnosti registrovaných církví a náboženských společností</w:t>
            </w:r>
          </w:p>
        </w:tc>
        <w:tc>
          <w:tcPr>
            <w:tcW w:w="1701" w:type="dxa"/>
            <w:tcBorders>
              <w:top w:val="nil"/>
              <w:left w:val="nil"/>
              <w:bottom w:val="single" w:sz="4" w:space="0" w:color="auto"/>
              <w:right w:val="single" w:sz="4" w:space="0" w:color="auto"/>
            </w:tcBorders>
            <w:shd w:val="clear" w:color="auto" w:fill="auto"/>
            <w:noWrap/>
            <w:vAlign w:val="center"/>
            <w:hideMark/>
          </w:tcPr>
          <w:p w14:paraId="51347AE3"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2 060 260 916</w:t>
            </w:r>
          </w:p>
        </w:tc>
      </w:tr>
      <w:tr w:rsidR="00B016A1" w:rsidRPr="00B016A1" w14:paraId="51347AE9" w14:textId="77777777" w:rsidTr="00B016A1">
        <w:trPr>
          <w:trHeight w:val="619"/>
        </w:trPr>
        <w:tc>
          <w:tcPr>
            <w:tcW w:w="1008" w:type="dxa"/>
            <w:tcBorders>
              <w:top w:val="nil"/>
              <w:left w:val="nil"/>
              <w:bottom w:val="nil"/>
              <w:right w:val="nil"/>
            </w:tcBorders>
            <w:shd w:val="clear" w:color="auto" w:fill="auto"/>
            <w:noWrap/>
            <w:vAlign w:val="bottom"/>
            <w:hideMark/>
          </w:tcPr>
          <w:p w14:paraId="51347AE5"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bottom"/>
            <w:hideMark/>
          </w:tcPr>
          <w:p w14:paraId="51347AE6"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502002</w:t>
            </w:r>
          </w:p>
        </w:tc>
        <w:tc>
          <w:tcPr>
            <w:tcW w:w="5422" w:type="dxa"/>
            <w:tcBorders>
              <w:top w:val="nil"/>
              <w:left w:val="nil"/>
              <w:bottom w:val="nil"/>
              <w:right w:val="nil"/>
            </w:tcBorders>
            <w:shd w:val="clear" w:color="auto" w:fill="auto"/>
            <w:noWrap/>
            <w:vAlign w:val="bottom"/>
            <w:hideMark/>
          </w:tcPr>
          <w:p w14:paraId="51347AE7"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Příspěvek na podporu činnosti</w:t>
            </w:r>
          </w:p>
        </w:tc>
        <w:tc>
          <w:tcPr>
            <w:tcW w:w="1701" w:type="dxa"/>
            <w:tcBorders>
              <w:top w:val="nil"/>
              <w:left w:val="nil"/>
              <w:bottom w:val="nil"/>
              <w:right w:val="nil"/>
            </w:tcBorders>
            <w:shd w:val="clear" w:color="auto" w:fill="auto"/>
            <w:noWrap/>
            <w:vAlign w:val="bottom"/>
            <w:hideMark/>
          </w:tcPr>
          <w:p w14:paraId="51347AE8"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1 372 515 350</w:t>
            </w:r>
          </w:p>
        </w:tc>
      </w:tr>
      <w:tr w:rsidR="00B016A1" w:rsidRPr="00B016A1" w14:paraId="51347AEE" w14:textId="77777777" w:rsidTr="00B016A1">
        <w:trPr>
          <w:trHeight w:val="360"/>
        </w:trPr>
        <w:tc>
          <w:tcPr>
            <w:tcW w:w="1008" w:type="dxa"/>
            <w:tcBorders>
              <w:top w:val="nil"/>
              <w:left w:val="nil"/>
              <w:bottom w:val="nil"/>
              <w:right w:val="nil"/>
            </w:tcBorders>
            <w:shd w:val="clear" w:color="auto" w:fill="auto"/>
            <w:noWrap/>
            <w:vAlign w:val="center"/>
            <w:hideMark/>
          </w:tcPr>
          <w:p w14:paraId="51347AEA"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 xml:space="preserve">v tom: </w:t>
            </w:r>
          </w:p>
        </w:tc>
        <w:tc>
          <w:tcPr>
            <w:tcW w:w="1240" w:type="dxa"/>
            <w:tcBorders>
              <w:top w:val="nil"/>
              <w:left w:val="nil"/>
              <w:bottom w:val="nil"/>
              <w:right w:val="nil"/>
            </w:tcBorders>
            <w:shd w:val="clear" w:color="auto" w:fill="auto"/>
            <w:noWrap/>
            <w:vAlign w:val="center"/>
            <w:hideMark/>
          </w:tcPr>
          <w:p w14:paraId="51347AEB"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1100000</w:t>
            </w:r>
          </w:p>
        </w:tc>
        <w:tc>
          <w:tcPr>
            <w:tcW w:w="5422" w:type="dxa"/>
            <w:tcBorders>
              <w:top w:val="nil"/>
              <w:left w:val="nil"/>
              <w:bottom w:val="nil"/>
              <w:right w:val="nil"/>
            </w:tcBorders>
            <w:shd w:val="clear" w:color="auto" w:fill="auto"/>
            <w:noWrap/>
            <w:vAlign w:val="center"/>
            <w:hideMark/>
          </w:tcPr>
          <w:p w14:paraId="51347AEC"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zdroj SR - základní</w:t>
            </w:r>
          </w:p>
        </w:tc>
        <w:tc>
          <w:tcPr>
            <w:tcW w:w="1701" w:type="dxa"/>
            <w:tcBorders>
              <w:top w:val="nil"/>
              <w:left w:val="nil"/>
              <w:bottom w:val="nil"/>
              <w:right w:val="nil"/>
            </w:tcBorders>
            <w:shd w:val="clear" w:color="auto" w:fill="auto"/>
            <w:noWrap/>
            <w:vAlign w:val="center"/>
            <w:hideMark/>
          </w:tcPr>
          <w:p w14:paraId="51347AED"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1 372 515 350</w:t>
            </w:r>
          </w:p>
        </w:tc>
      </w:tr>
      <w:tr w:rsidR="00B016A1" w:rsidRPr="00B016A1" w14:paraId="51347AF3"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AEF"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lastRenderedPageBreak/>
              <w:t>Paragraf</w:t>
            </w:r>
          </w:p>
        </w:tc>
        <w:tc>
          <w:tcPr>
            <w:tcW w:w="1240" w:type="dxa"/>
            <w:tcBorders>
              <w:top w:val="single" w:sz="4" w:space="0" w:color="auto"/>
              <w:left w:val="nil"/>
              <w:bottom w:val="nil"/>
              <w:right w:val="dashed" w:sz="4" w:space="0" w:color="auto"/>
            </w:tcBorders>
            <w:shd w:val="clear" w:color="auto" w:fill="auto"/>
            <w:vAlign w:val="center"/>
            <w:hideMark/>
          </w:tcPr>
          <w:p w14:paraId="51347AF0"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AF1"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AF2"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AF8"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AF4"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333000</w:t>
            </w:r>
          </w:p>
        </w:tc>
        <w:tc>
          <w:tcPr>
            <w:tcW w:w="1240" w:type="dxa"/>
            <w:tcBorders>
              <w:top w:val="dashed" w:sz="4" w:space="0" w:color="auto"/>
              <w:left w:val="nil"/>
              <w:bottom w:val="dashed" w:sz="4" w:space="0" w:color="auto"/>
              <w:right w:val="dashed" w:sz="4" w:space="0" w:color="auto"/>
            </w:tcBorders>
            <w:shd w:val="clear" w:color="auto" w:fill="auto"/>
            <w:noWrap/>
            <w:vAlign w:val="center"/>
            <w:hideMark/>
          </w:tcPr>
          <w:p w14:paraId="51347AF5"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dashed" w:sz="4" w:space="0" w:color="auto"/>
              <w:left w:val="nil"/>
              <w:bottom w:val="dashed" w:sz="4" w:space="0" w:color="auto"/>
              <w:right w:val="dashed" w:sz="4" w:space="0" w:color="auto"/>
            </w:tcBorders>
            <w:shd w:val="clear" w:color="auto" w:fill="auto"/>
            <w:noWrap/>
            <w:vAlign w:val="center"/>
            <w:hideMark/>
          </w:tcPr>
          <w:p w14:paraId="51347AF6"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AF7"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1 372 515 350</w:t>
            </w:r>
          </w:p>
        </w:tc>
      </w:tr>
      <w:tr w:rsidR="00B016A1" w:rsidRPr="00B016A1" w14:paraId="51347AFC" w14:textId="77777777" w:rsidTr="00B016A1">
        <w:trPr>
          <w:trHeight w:val="559"/>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AF9"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333000</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AFA"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Činnosti registrovaných církví a náboženských společností</w:t>
            </w:r>
          </w:p>
        </w:tc>
        <w:tc>
          <w:tcPr>
            <w:tcW w:w="1701" w:type="dxa"/>
            <w:tcBorders>
              <w:top w:val="nil"/>
              <w:left w:val="nil"/>
              <w:bottom w:val="single" w:sz="4" w:space="0" w:color="auto"/>
              <w:right w:val="single" w:sz="4" w:space="0" w:color="auto"/>
            </w:tcBorders>
            <w:shd w:val="clear" w:color="auto" w:fill="auto"/>
            <w:noWrap/>
            <w:vAlign w:val="center"/>
            <w:hideMark/>
          </w:tcPr>
          <w:p w14:paraId="51347AFB"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1 372 515 350</w:t>
            </w:r>
          </w:p>
        </w:tc>
      </w:tr>
      <w:tr w:rsidR="00B016A1" w:rsidRPr="00B016A1" w14:paraId="51347B01" w14:textId="77777777" w:rsidTr="0085383F">
        <w:trPr>
          <w:trHeight w:val="462"/>
        </w:trPr>
        <w:tc>
          <w:tcPr>
            <w:tcW w:w="1008" w:type="dxa"/>
            <w:tcBorders>
              <w:top w:val="nil"/>
              <w:left w:val="nil"/>
              <w:bottom w:val="nil"/>
              <w:right w:val="nil"/>
            </w:tcBorders>
            <w:shd w:val="clear" w:color="auto" w:fill="auto"/>
            <w:noWrap/>
            <w:vAlign w:val="center"/>
            <w:hideMark/>
          </w:tcPr>
          <w:p w14:paraId="51347AFD" w14:textId="77777777" w:rsidR="00B016A1" w:rsidRPr="00B016A1" w:rsidRDefault="00B016A1" w:rsidP="00B016A1">
            <w:pPr>
              <w:spacing w:line="240" w:lineRule="auto"/>
              <w:jc w:val="center"/>
              <w:rPr>
                <w:rFonts w:ascii="Times New Roman" w:hAnsi="Times New Roman"/>
                <w:b/>
                <w:bCs/>
                <w:color w:val="000000"/>
                <w:sz w:val="22"/>
                <w:szCs w:val="22"/>
              </w:rPr>
            </w:pPr>
          </w:p>
        </w:tc>
        <w:tc>
          <w:tcPr>
            <w:tcW w:w="1240" w:type="dxa"/>
            <w:tcBorders>
              <w:top w:val="nil"/>
              <w:left w:val="nil"/>
              <w:bottom w:val="nil"/>
              <w:right w:val="nil"/>
            </w:tcBorders>
            <w:shd w:val="clear" w:color="auto" w:fill="auto"/>
            <w:noWrap/>
            <w:vAlign w:val="center"/>
            <w:hideMark/>
          </w:tcPr>
          <w:p w14:paraId="51347AFE" w14:textId="77777777" w:rsidR="00B016A1" w:rsidRPr="00B016A1" w:rsidRDefault="00B016A1" w:rsidP="00B016A1">
            <w:pPr>
              <w:spacing w:line="240" w:lineRule="auto"/>
              <w:jc w:val="left"/>
              <w:rPr>
                <w:rFonts w:ascii="Times New Roman" w:hAnsi="Times New Roman"/>
                <w:b/>
                <w:bCs/>
                <w:color w:val="000000"/>
                <w:sz w:val="22"/>
                <w:szCs w:val="22"/>
              </w:rPr>
            </w:pPr>
          </w:p>
        </w:tc>
        <w:tc>
          <w:tcPr>
            <w:tcW w:w="5422" w:type="dxa"/>
            <w:tcBorders>
              <w:top w:val="nil"/>
              <w:left w:val="nil"/>
              <w:bottom w:val="nil"/>
              <w:right w:val="nil"/>
            </w:tcBorders>
            <w:shd w:val="clear" w:color="auto" w:fill="auto"/>
            <w:noWrap/>
            <w:vAlign w:val="center"/>
            <w:hideMark/>
          </w:tcPr>
          <w:p w14:paraId="51347AFF" w14:textId="77777777" w:rsidR="00B016A1" w:rsidRPr="00B016A1" w:rsidRDefault="00B016A1" w:rsidP="00B016A1">
            <w:pPr>
              <w:spacing w:line="240" w:lineRule="auto"/>
              <w:jc w:val="left"/>
              <w:rPr>
                <w:rFonts w:ascii="Times New Roman" w:hAnsi="Times New Roman"/>
                <w:b/>
                <w:bCs/>
                <w:color w:val="000000"/>
                <w:sz w:val="22"/>
                <w:szCs w:val="22"/>
              </w:rPr>
            </w:pPr>
          </w:p>
        </w:tc>
        <w:tc>
          <w:tcPr>
            <w:tcW w:w="1701" w:type="dxa"/>
            <w:tcBorders>
              <w:top w:val="nil"/>
              <w:left w:val="nil"/>
              <w:bottom w:val="nil"/>
              <w:right w:val="nil"/>
            </w:tcBorders>
            <w:shd w:val="clear" w:color="auto" w:fill="auto"/>
            <w:noWrap/>
            <w:vAlign w:val="center"/>
            <w:hideMark/>
          </w:tcPr>
          <w:p w14:paraId="51347B00" w14:textId="77777777" w:rsidR="00B016A1" w:rsidRPr="00B016A1" w:rsidRDefault="00B016A1" w:rsidP="00B016A1">
            <w:pPr>
              <w:spacing w:line="240" w:lineRule="auto"/>
              <w:jc w:val="left"/>
              <w:rPr>
                <w:rFonts w:ascii="Times New Roman" w:hAnsi="Times New Roman"/>
                <w:b/>
                <w:bCs/>
                <w:color w:val="000000"/>
                <w:sz w:val="22"/>
                <w:szCs w:val="22"/>
              </w:rPr>
            </w:pPr>
          </w:p>
        </w:tc>
      </w:tr>
      <w:tr w:rsidR="00B016A1" w:rsidRPr="00B016A1" w14:paraId="51347B05" w14:textId="77777777" w:rsidTr="0085383F">
        <w:trPr>
          <w:trHeight w:val="436"/>
        </w:trPr>
        <w:tc>
          <w:tcPr>
            <w:tcW w:w="1008" w:type="dxa"/>
            <w:tcBorders>
              <w:top w:val="nil"/>
              <w:left w:val="nil"/>
              <w:bottom w:val="nil"/>
              <w:right w:val="nil"/>
            </w:tcBorders>
            <w:shd w:val="clear" w:color="auto" w:fill="auto"/>
            <w:noWrap/>
            <w:vAlign w:val="center"/>
            <w:hideMark/>
          </w:tcPr>
          <w:p w14:paraId="51347B02" w14:textId="77777777" w:rsidR="00B016A1" w:rsidRPr="00B016A1" w:rsidRDefault="00B016A1" w:rsidP="00B016A1">
            <w:pPr>
              <w:spacing w:line="240" w:lineRule="auto"/>
              <w:jc w:val="center"/>
              <w:rPr>
                <w:rFonts w:ascii="Times New Roman" w:hAnsi="Times New Roman"/>
                <w:b/>
                <w:bCs/>
                <w:color w:val="000000"/>
                <w:sz w:val="26"/>
                <w:szCs w:val="26"/>
              </w:rPr>
            </w:pPr>
            <w:r w:rsidRPr="00B016A1">
              <w:rPr>
                <w:rFonts w:ascii="Times New Roman" w:hAnsi="Times New Roman"/>
                <w:b/>
                <w:bCs/>
                <w:color w:val="000000"/>
                <w:sz w:val="26"/>
                <w:szCs w:val="26"/>
              </w:rPr>
              <w:t>BLOK</w:t>
            </w:r>
          </w:p>
        </w:tc>
        <w:tc>
          <w:tcPr>
            <w:tcW w:w="6662" w:type="dxa"/>
            <w:gridSpan w:val="2"/>
            <w:tcBorders>
              <w:top w:val="nil"/>
              <w:left w:val="nil"/>
              <w:bottom w:val="nil"/>
              <w:right w:val="nil"/>
            </w:tcBorders>
            <w:shd w:val="clear" w:color="auto" w:fill="auto"/>
            <w:noWrap/>
            <w:vAlign w:val="center"/>
            <w:hideMark/>
          </w:tcPr>
          <w:p w14:paraId="51347B03" w14:textId="77777777" w:rsidR="00B016A1" w:rsidRPr="00B016A1" w:rsidRDefault="00B016A1" w:rsidP="00B016A1">
            <w:pPr>
              <w:spacing w:line="240" w:lineRule="auto"/>
              <w:jc w:val="left"/>
              <w:rPr>
                <w:rFonts w:ascii="Times New Roman" w:hAnsi="Times New Roman"/>
                <w:b/>
                <w:bCs/>
                <w:color w:val="000000"/>
                <w:sz w:val="26"/>
                <w:szCs w:val="26"/>
              </w:rPr>
            </w:pPr>
            <w:r w:rsidRPr="00B016A1">
              <w:rPr>
                <w:rFonts w:ascii="Times New Roman" w:hAnsi="Times New Roman"/>
                <w:b/>
                <w:bCs/>
                <w:color w:val="000000"/>
                <w:sz w:val="26"/>
                <w:szCs w:val="26"/>
              </w:rPr>
              <w:t>Výdaje na zabezpečení plnění úkolů Ministerstva kultury</w:t>
            </w:r>
          </w:p>
        </w:tc>
        <w:tc>
          <w:tcPr>
            <w:tcW w:w="1701" w:type="dxa"/>
            <w:tcBorders>
              <w:top w:val="nil"/>
              <w:left w:val="nil"/>
              <w:bottom w:val="nil"/>
              <w:right w:val="nil"/>
            </w:tcBorders>
            <w:shd w:val="clear" w:color="auto" w:fill="auto"/>
            <w:noWrap/>
            <w:vAlign w:val="center"/>
            <w:hideMark/>
          </w:tcPr>
          <w:p w14:paraId="51347B04" w14:textId="77777777" w:rsidR="00B016A1" w:rsidRPr="00B016A1" w:rsidRDefault="00B016A1" w:rsidP="00B016A1">
            <w:pPr>
              <w:spacing w:line="240" w:lineRule="auto"/>
              <w:jc w:val="right"/>
              <w:rPr>
                <w:rFonts w:ascii="Times New Roman" w:hAnsi="Times New Roman"/>
                <w:b/>
                <w:bCs/>
                <w:color w:val="000000"/>
                <w:sz w:val="26"/>
                <w:szCs w:val="26"/>
              </w:rPr>
            </w:pPr>
            <w:r w:rsidRPr="00B016A1">
              <w:rPr>
                <w:rFonts w:ascii="Times New Roman" w:hAnsi="Times New Roman"/>
                <w:b/>
                <w:bCs/>
                <w:color w:val="000000"/>
                <w:sz w:val="26"/>
                <w:szCs w:val="26"/>
              </w:rPr>
              <w:t>324 115 864</w:t>
            </w:r>
          </w:p>
        </w:tc>
      </w:tr>
      <w:tr w:rsidR="00B016A1" w:rsidRPr="00B016A1" w14:paraId="51347B0A" w14:textId="77777777" w:rsidTr="0085383F">
        <w:trPr>
          <w:trHeight w:val="388"/>
        </w:trPr>
        <w:tc>
          <w:tcPr>
            <w:tcW w:w="1008" w:type="dxa"/>
            <w:tcBorders>
              <w:top w:val="nil"/>
              <w:left w:val="nil"/>
              <w:bottom w:val="nil"/>
              <w:right w:val="nil"/>
            </w:tcBorders>
            <w:shd w:val="clear" w:color="auto" w:fill="auto"/>
            <w:noWrap/>
            <w:vAlign w:val="bottom"/>
            <w:hideMark/>
          </w:tcPr>
          <w:p w14:paraId="51347B06"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bottom"/>
            <w:hideMark/>
          </w:tcPr>
          <w:p w14:paraId="51347B07"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503001</w:t>
            </w:r>
          </w:p>
        </w:tc>
        <w:tc>
          <w:tcPr>
            <w:tcW w:w="5422" w:type="dxa"/>
            <w:tcBorders>
              <w:top w:val="nil"/>
              <w:left w:val="nil"/>
              <w:bottom w:val="nil"/>
              <w:right w:val="nil"/>
            </w:tcBorders>
            <w:shd w:val="clear" w:color="auto" w:fill="auto"/>
            <w:noWrap/>
            <w:vAlign w:val="bottom"/>
            <w:hideMark/>
          </w:tcPr>
          <w:p w14:paraId="51347B08"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Rozvoj a obnova materiálně technické základny</w:t>
            </w:r>
          </w:p>
        </w:tc>
        <w:tc>
          <w:tcPr>
            <w:tcW w:w="1701" w:type="dxa"/>
            <w:tcBorders>
              <w:top w:val="nil"/>
              <w:left w:val="nil"/>
              <w:bottom w:val="nil"/>
              <w:right w:val="nil"/>
            </w:tcBorders>
            <w:shd w:val="clear" w:color="auto" w:fill="auto"/>
            <w:noWrap/>
            <w:vAlign w:val="bottom"/>
            <w:hideMark/>
          </w:tcPr>
          <w:p w14:paraId="51347B09"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42 880 000</w:t>
            </w:r>
          </w:p>
        </w:tc>
      </w:tr>
      <w:tr w:rsidR="00B016A1" w:rsidRPr="00B016A1" w14:paraId="51347B0F" w14:textId="77777777" w:rsidTr="00B016A1">
        <w:trPr>
          <w:trHeight w:val="360"/>
        </w:trPr>
        <w:tc>
          <w:tcPr>
            <w:tcW w:w="1008" w:type="dxa"/>
            <w:tcBorders>
              <w:top w:val="nil"/>
              <w:left w:val="nil"/>
              <w:bottom w:val="nil"/>
              <w:right w:val="nil"/>
            </w:tcBorders>
            <w:shd w:val="clear" w:color="auto" w:fill="auto"/>
            <w:noWrap/>
            <w:vAlign w:val="center"/>
            <w:hideMark/>
          </w:tcPr>
          <w:p w14:paraId="51347B0B"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 xml:space="preserve">v tom: </w:t>
            </w:r>
          </w:p>
        </w:tc>
        <w:tc>
          <w:tcPr>
            <w:tcW w:w="1240" w:type="dxa"/>
            <w:tcBorders>
              <w:top w:val="nil"/>
              <w:left w:val="nil"/>
              <w:bottom w:val="nil"/>
              <w:right w:val="nil"/>
            </w:tcBorders>
            <w:shd w:val="clear" w:color="auto" w:fill="auto"/>
            <w:noWrap/>
            <w:vAlign w:val="center"/>
            <w:hideMark/>
          </w:tcPr>
          <w:p w14:paraId="51347B0C"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1100000</w:t>
            </w:r>
          </w:p>
        </w:tc>
        <w:tc>
          <w:tcPr>
            <w:tcW w:w="5422" w:type="dxa"/>
            <w:tcBorders>
              <w:top w:val="nil"/>
              <w:left w:val="nil"/>
              <w:bottom w:val="nil"/>
              <w:right w:val="nil"/>
            </w:tcBorders>
            <w:shd w:val="clear" w:color="auto" w:fill="auto"/>
            <w:noWrap/>
            <w:vAlign w:val="center"/>
            <w:hideMark/>
          </w:tcPr>
          <w:p w14:paraId="51347B0D"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zdroj SR - základní</w:t>
            </w:r>
          </w:p>
        </w:tc>
        <w:tc>
          <w:tcPr>
            <w:tcW w:w="1701" w:type="dxa"/>
            <w:tcBorders>
              <w:top w:val="nil"/>
              <w:left w:val="nil"/>
              <w:bottom w:val="nil"/>
              <w:right w:val="nil"/>
            </w:tcBorders>
            <w:shd w:val="clear" w:color="auto" w:fill="auto"/>
            <w:noWrap/>
            <w:vAlign w:val="center"/>
            <w:hideMark/>
          </w:tcPr>
          <w:p w14:paraId="51347B0E"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42 880 000</w:t>
            </w:r>
          </w:p>
        </w:tc>
      </w:tr>
      <w:tr w:rsidR="00B016A1" w:rsidRPr="00B016A1" w14:paraId="51347B14"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B10"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Paragraf</w:t>
            </w:r>
          </w:p>
        </w:tc>
        <w:tc>
          <w:tcPr>
            <w:tcW w:w="1240" w:type="dxa"/>
            <w:tcBorders>
              <w:top w:val="single" w:sz="4" w:space="0" w:color="auto"/>
              <w:left w:val="nil"/>
              <w:bottom w:val="nil"/>
              <w:right w:val="dashed" w:sz="4" w:space="0" w:color="auto"/>
            </w:tcBorders>
            <w:shd w:val="clear" w:color="auto" w:fill="auto"/>
            <w:vAlign w:val="center"/>
            <w:hideMark/>
          </w:tcPr>
          <w:p w14:paraId="51347B11"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B12"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B13"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B19"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B15"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dashed" w:sz="4" w:space="0" w:color="auto"/>
              <w:left w:val="nil"/>
              <w:bottom w:val="nil"/>
              <w:right w:val="dashed" w:sz="4" w:space="0" w:color="auto"/>
            </w:tcBorders>
            <w:shd w:val="clear" w:color="auto" w:fill="auto"/>
            <w:noWrap/>
            <w:vAlign w:val="center"/>
            <w:hideMark/>
          </w:tcPr>
          <w:p w14:paraId="51347B16"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611</w:t>
            </w:r>
          </w:p>
        </w:tc>
        <w:tc>
          <w:tcPr>
            <w:tcW w:w="5422" w:type="dxa"/>
            <w:tcBorders>
              <w:top w:val="dashed" w:sz="4" w:space="0" w:color="auto"/>
              <w:left w:val="nil"/>
              <w:bottom w:val="nil"/>
              <w:right w:val="dashed" w:sz="4" w:space="0" w:color="auto"/>
            </w:tcBorders>
            <w:shd w:val="clear" w:color="auto" w:fill="auto"/>
            <w:noWrap/>
            <w:vAlign w:val="center"/>
            <w:hideMark/>
          </w:tcPr>
          <w:p w14:paraId="51347B17"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Pořízení dlouhodobého nehmotného majetku</w:t>
            </w:r>
          </w:p>
        </w:tc>
        <w:tc>
          <w:tcPr>
            <w:tcW w:w="1701" w:type="dxa"/>
            <w:tcBorders>
              <w:top w:val="dashed" w:sz="4" w:space="0" w:color="auto"/>
              <w:left w:val="nil"/>
              <w:bottom w:val="nil"/>
              <w:right w:val="single" w:sz="4" w:space="0" w:color="auto"/>
            </w:tcBorders>
            <w:shd w:val="clear" w:color="auto" w:fill="auto"/>
            <w:noWrap/>
            <w:vAlign w:val="center"/>
            <w:hideMark/>
          </w:tcPr>
          <w:p w14:paraId="51347B18"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38 000 000</w:t>
            </w:r>
          </w:p>
        </w:tc>
      </w:tr>
      <w:tr w:rsidR="00B016A1" w:rsidRPr="00B016A1" w14:paraId="51347B1E"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B1A"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nil"/>
              <w:left w:val="nil"/>
              <w:bottom w:val="dashed" w:sz="4" w:space="0" w:color="auto"/>
              <w:right w:val="dashed" w:sz="4" w:space="0" w:color="auto"/>
            </w:tcBorders>
            <w:shd w:val="clear" w:color="auto" w:fill="auto"/>
            <w:noWrap/>
            <w:vAlign w:val="center"/>
            <w:hideMark/>
          </w:tcPr>
          <w:p w14:paraId="51347B1B"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612</w:t>
            </w:r>
          </w:p>
        </w:tc>
        <w:tc>
          <w:tcPr>
            <w:tcW w:w="5422" w:type="dxa"/>
            <w:tcBorders>
              <w:top w:val="nil"/>
              <w:left w:val="nil"/>
              <w:bottom w:val="dashed" w:sz="4" w:space="0" w:color="auto"/>
              <w:right w:val="dashed" w:sz="4" w:space="0" w:color="auto"/>
            </w:tcBorders>
            <w:shd w:val="clear" w:color="auto" w:fill="auto"/>
            <w:noWrap/>
            <w:vAlign w:val="center"/>
            <w:hideMark/>
          </w:tcPr>
          <w:p w14:paraId="51347B1C"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Pořízení dlouhodobého hmotného majetku</w:t>
            </w:r>
          </w:p>
        </w:tc>
        <w:tc>
          <w:tcPr>
            <w:tcW w:w="1701" w:type="dxa"/>
            <w:tcBorders>
              <w:top w:val="nil"/>
              <w:left w:val="nil"/>
              <w:bottom w:val="dashed" w:sz="4" w:space="0" w:color="auto"/>
              <w:right w:val="single" w:sz="4" w:space="0" w:color="auto"/>
            </w:tcBorders>
            <w:shd w:val="clear" w:color="auto" w:fill="auto"/>
            <w:noWrap/>
            <w:vAlign w:val="center"/>
            <w:hideMark/>
          </w:tcPr>
          <w:p w14:paraId="51347B1D"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4 880 000</w:t>
            </w:r>
          </w:p>
        </w:tc>
      </w:tr>
      <w:tr w:rsidR="00B016A1" w:rsidRPr="00B016A1" w14:paraId="51347B22" w14:textId="77777777" w:rsidTr="00B016A1">
        <w:trPr>
          <w:trHeight w:val="559"/>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B1F"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336100</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B20"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Činnost ústředního orgánu státní správy v oblasti kultury a církví</w:t>
            </w:r>
          </w:p>
        </w:tc>
        <w:tc>
          <w:tcPr>
            <w:tcW w:w="1701" w:type="dxa"/>
            <w:tcBorders>
              <w:top w:val="nil"/>
              <w:left w:val="nil"/>
              <w:bottom w:val="single" w:sz="4" w:space="0" w:color="auto"/>
              <w:right w:val="single" w:sz="4" w:space="0" w:color="auto"/>
            </w:tcBorders>
            <w:shd w:val="clear" w:color="auto" w:fill="auto"/>
            <w:noWrap/>
            <w:vAlign w:val="center"/>
            <w:hideMark/>
          </w:tcPr>
          <w:p w14:paraId="51347B21"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42 880 000</w:t>
            </w:r>
          </w:p>
        </w:tc>
      </w:tr>
      <w:tr w:rsidR="00B016A1" w:rsidRPr="00B016A1" w14:paraId="51347B27" w14:textId="77777777" w:rsidTr="00B016A1">
        <w:trPr>
          <w:trHeight w:val="619"/>
        </w:trPr>
        <w:tc>
          <w:tcPr>
            <w:tcW w:w="1008" w:type="dxa"/>
            <w:tcBorders>
              <w:top w:val="nil"/>
              <w:left w:val="nil"/>
              <w:bottom w:val="nil"/>
              <w:right w:val="nil"/>
            </w:tcBorders>
            <w:shd w:val="clear" w:color="auto" w:fill="auto"/>
            <w:noWrap/>
            <w:vAlign w:val="bottom"/>
            <w:hideMark/>
          </w:tcPr>
          <w:p w14:paraId="51347B23"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bottom"/>
            <w:hideMark/>
          </w:tcPr>
          <w:p w14:paraId="51347B24"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503003</w:t>
            </w:r>
          </w:p>
        </w:tc>
        <w:tc>
          <w:tcPr>
            <w:tcW w:w="5422" w:type="dxa"/>
            <w:tcBorders>
              <w:top w:val="nil"/>
              <w:left w:val="nil"/>
              <w:bottom w:val="nil"/>
              <w:right w:val="nil"/>
            </w:tcBorders>
            <w:shd w:val="clear" w:color="auto" w:fill="auto"/>
            <w:noWrap/>
            <w:vAlign w:val="bottom"/>
            <w:hideMark/>
          </w:tcPr>
          <w:p w14:paraId="51347B25"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Výdaje na činnost úřadu</w:t>
            </w:r>
          </w:p>
        </w:tc>
        <w:tc>
          <w:tcPr>
            <w:tcW w:w="1701" w:type="dxa"/>
            <w:tcBorders>
              <w:top w:val="nil"/>
              <w:left w:val="nil"/>
              <w:bottom w:val="nil"/>
              <w:right w:val="nil"/>
            </w:tcBorders>
            <w:shd w:val="clear" w:color="auto" w:fill="auto"/>
            <w:noWrap/>
            <w:vAlign w:val="bottom"/>
            <w:hideMark/>
          </w:tcPr>
          <w:p w14:paraId="51347B26"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256 175 364</w:t>
            </w:r>
          </w:p>
        </w:tc>
      </w:tr>
      <w:tr w:rsidR="00B016A1" w:rsidRPr="00B016A1" w14:paraId="51347B2C" w14:textId="77777777" w:rsidTr="00B016A1">
        <w:trPr>
          <w:trHeight w:val="360"/>
        </w:trPr>
        <w:tc>
          <w:tcPr>
            <w:tcW w:w="1008" w:type="dxa"/>
            <w:tcBorders>
              <w:top w:val="nil"/>
              <w:left w:val="nil"/>
              <w:bottom w:val="nil"/>
              <w:right w:val="nil"/>
            </w:tcBorders>
            <w:shd w:val="clear" w:color="auto" w:fill="auto"/>
            <w:noWrap/>
            <w:vAlign w:val="center"/>
            <w:hideMark/>
          </w:tcPr>
          <w:p w14:paraId="51347B28"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 xml:space="preserve">v tom: </w:t>
            </w:r>
          </w:p>
        </w:tc>
        <w:tc>
          <w:tcPr>
            <w:tcW w:w="1240" w:type="dxa"/>
            <w:tcBorders>
              <w:top w:val="nil"/>
              <w:left w:val="nil"/>
              <w:bottom w:val="nil"/>
              <w:right w:val="nil"/>
            </w:tcBorders>
            <w:shd w:val="clear" w:color="auto" w:fill="auto"/>
            <w:noWrap/>
            <w:vAlign w:val="center"/>
            <w:hideMark/>
          </w:tcPr>
          <w:p w14:paraId="51347B29"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1100000</w:t>
            </w:r>
          </w:p>
        </w:tc>
        <w:tc>
          <w:tcPr>
            <w:tcW w:w="5422" w:type="dxa"/>
            <w:tcBorders>
              <w:top w:val="nil"/>
              <w:left w:val="nil"/>
              <w:bottom w:val="nil"/>
              <w:right w:val="nil"/>
            </w:tcBorders>
            <w:shd w:val="clear" w:color="auto" w:fill="auto"/>
            <w:noWrap/>
            <w:vAlign w:val="center"/>
            <w:hideMark/>
          </w:tcPr>
          <w:p w14:paraId="51347B2A"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zdroj SR - základní</w:t>
            </w:r>
          </w:p>
        </w:tc>
        <w:tc>
          <w:tcPr>
            <w:tcW w:w="1701" w:type="dxa"/>
            <w:tcBorders>
              <w:top w:val="nil"/>
              <w:left w:val="nil"/>
              <w:bottom w:val="nil"/>
              <w:right w:val="nil"/>
            </w:tcBorders>
            <w:shd w:val="clear" w:color="auto" w:fill="auto"/>
            <w:noWrap/>
            <w:vAlign w:val="center"/>
            <w:hideMark/>
          </w:tcPr>
          <w:p w14:paraId="51347B2B"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256 175 364</w:t>
            </w:r>
          </w:p>
        </w:tc>
      </w:tr>
      <w:tr w:rsidR="00B016A1" w:rsidRPr="00B016A1" w14:paraId="51347B31"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B2D"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Paragraf</w:t>
            </w:r>
          </w:p>
        </w:tc>
        <w:tc>
          <w:tcPr>
            <w:tcW w:w="1240" w:type="dxa"/>
            <w:tcBorders>
              <w:top w:val="single" w:sz="4" w:space="0" w:color="auto"/>
              <w:left w:val="nil"/>
              <w:bottom w:val="nil"/>
              <w:right w:val="dashed" w:sz="4" w:space="0" w:color="auto"/>
            </w:tcBorders>
            <w:shd w:val="clear" w:color="auto" w:fill="auto"/>
            <w:vAlign w:val="center"/>
            <w:hideMark/>
          </w:tcPr>
          <w:p w14:paraId="51347B2E"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B2F"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B30"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B36"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B32"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dashed" w:sz="4" w:space="0" w:color="auto"/>
              <w:left w:val="nil"/>
              <w:bottom w:val="nil"/>
              <w:right w:val="dashed" w:sz="4" w:space="0" w:color="auto"/>
            </w:tcBorders>
            <w:shd w:val="clear" w:color="auto" w:fill="auto"/>
            <w:noWrap/>
            <w:vAlign w:val="center"/>
            <w:hideMark/>
          </w:tcPr>
          <w:p w14:paraId="51347B33"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501</w:t>
            </w:r>
          </w:p>
        </w:tc>
        <w:tc>
          <w:tcPr>
            <w:tcW w:w="5422" w:type="dxa"/>
            <w:tcBorders>
              <w:top w:val="dashed" w:sz="4" w:space="0" w:color="auto"/>
              <w:left w:val="nil"/>
              <w:bottom w:val="nil"/>
              <w:right w:val="dashed" w:sz="4" w:space="0" w:color="auto"/>
            </w:tcBorders>
            <w:shd w:val="clear" w:color="auto" w:fill="auto"/>
            <w:noWrap/>
            <w:vAlign w:val="center"/>
            <w:hideMark/>
          </w:tcPr>
          <w:p w14:paraId="51347B34"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Platy</w:t>
            </w:r>
          </w:p>
        </w:tc>
        <w:tc>
          <w:tcPr>
            <w:tcW w:w="1701" w:type="dxa"/>
            <w:tcBorders>
              <w:top w:val="dashed" w:sz="4" w:space="0" w:color="auto"/>
              <w:left w:val="nil"/>
              <w:bottom w:val="nil"/>
              <w:right w:val="single" w:sz="4" w:space="0" w:color="auto"/>
            </w:tcBorders>
            <w:shd w:val="clear" w:color="auto" w:fill="auto"/>
            <w:noWrap/>
            <w:vAlign w:val="center"/>
            <w:hideMark/>
          </w:tcPr>
          <w:p w14:paraId="51347B35"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126 358 151</w:t>
            </w:r>
          </w:p>
        </w:tc>
      </w:tr>
      <w:tr w:rsidR="00B016A1" w:rsidRPr="00B016A1" w14:paraId="51347B3B"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B3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nil"/>
              <w:left w:val="nil"/>
              <w:bottom w:val="nil"/>
              <w:right w:val="dashed" w:sz="4" w:space="0" w:color="auto"/>
            </w:tcBorders>
            <w:shd w:val="clear" w:color="auto" w:fill="auto"/>
            <w:noWrap/>
            <w:vAlign w:val="center"/>
            <w:hideMark/>
          </w:tcPr>
          <w:p w14:paraId="51347B38"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502</w:t>
            </w:r>
          </w:p>
        </w:tc>
        <w:tc>
          <w:tcPr>
            <w:tcW w:w="5422" w:type="dxa"/>
            <w:tcBorders>
              <w:top w:val="nil"/>
              <w:left w:val="nil"/>
              <w:bottom w:val="nil"/>
              <w:right w:val="dashed" w:sz="4" w:space="0" w:color="auto"/>
            </w:tcBorders>
            <w:shd w:val="clear" w:color="auto" w:fill="auto"/>
            <w:noWrap/>
            <w:vAlign w:val="center"/>
            <w:hideMark/>
          </w:tcPr>
          <w:p w14:paraId="51347B39"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Ostatní platby za provedenou práci</w:t>
            </w:r>
          </w:p>
        </w:tc>
        <w:tc>
          <w:tcPr>
            <w:tcW w:w="1701" w:type="dxa"/>
            <w:tcBorders>
              <w:top w:val="nil"/>
              <w:left w:val="nil"/>
              <w:bottom w:val="nil"/>
              <w:right w:val="single" w:sz="4" w:space="0" w:color="auto"/>
            </w:tcBorders>
            <w:shd w:val="clear" w:color="auto" w:fill="auto"/>
            <w:noWrap/>
            <w:vAlign w:val="center"/>
            <w:hideMark/>
          </w:tcPr>
          <w:p w14:paraId="51347B3A"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9 051 419</w:t>
            </w:r>
          </w:p>
        </w:tc>
      </w:tr>
      <w:tr w:rsidR="00B016A1" w:rsidRPr="00B016A1" w14:paraId="51347B40"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B3C"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nil"/>
              <w:left w:val="nil"/>
              <w:bottom w:val="nil"/>
              <w:right w:val="dashed" w:sz="4" w:space="0" w:color="auto"/>
            </w:tcBorders>
            <w:shd w:val="clear" w:color="auto" w:fill="auto"/>
            <w:noWrap/>
            <w:vAlign w:val="center"/>
            <w:hideMark/>
          </w:tcPr>
          <w:p w14:paraId="51347B3D"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503</w:t>
            </w:r>
          </w:p>
        </w:tc>
        <w:tc>
          <w:tcPr>
            <w:tcW w:w="5422" w:type="dxa"/>
            <w:tcBorders>
              <w:top w:val="nil"/>
              <w:left w:val="nil"/>
              <w:bottom w:val="nil"/>
              <w:right w:val="dashed" w:sz="4" w:space="0" w:color="auto"/>
            </w:tcBorders>
            <w:shd w:val="clear" w:color="auto" w:fill="auto"/>
            <w:noWrap/>
            <w:vAlign w:val="center"/>
            <w:hideMark/>
          </w:tcPr>
          <w:p w14:paraId="51347B3E"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Povinné pojistné placené zaměstnavatelem</w:t>
            </w:r>
          </w:p>
        </w:tc>
        <w:tc>
          <w:tcPr>
            <w:tcW w:w="1701" w:type="dxa"/>
            <w:tcBorders>
              <w:top w:val="nil"/>
              <w:left w:val="nil"/>
              <w:bottom w:val="nil"/>
              <w:right w:val="single" w:sz="4" w:space="0" w:color="auto"/>
            </w:tcBorders>
            <w:shd w:val="clear" w:color="auto" w:fill="auto"/>
            <w:noWrap/>
            <w:vAlign w:val="center"/>
            <w:hideMark/>
          </w:tcPr>
          <w:p w14:paraId="51347B3F"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45 779 154</w:t>
            </w:r>
          </w:p>
        </w:tc>
      </w:tr>
      <w:tr w:rsidR="00B016A1" w:rsidRPr="00B016A1" w14:paraId="51347B45"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B4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nil"/>
              <w:left w:val="nil"/>
              <w:bottom w:val="nil"/>
              <w:right w:val="dashed" w:sz="4" w:space="0" w:color="auto"/>
            </w:tcBorders>
            <w:shd w:val="clear" w:color="auto" w:fill="auto"/>
            <w:noWrap/>
            <w:vAlign w:val="center"/>
            <w:hideMark/>
          </w:tcPr>
          <w:p w14:paraId="51347B42"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513</w:t>
            </w:r>
          </w:p>
        </w:tc>
        <w:tc>
          <w:tcPr>
            <w:tcW w:w="5422" w:type="dxa"/>
            <w:tcBorders>
              <w:top w:val="nil"/>
              <w:left w:val="nil"/>
              <w:bottom w:val="nil"/>
              <w:right w:val="dashed" w:sz="4" w:space="0" w:color="auto"/>
            </w:tcBorders>
            <w:shd w:val="clear" w:color="auto" w:fill="auto"/>
            <w:noWrap/>
            <w:vAlign w:val="center"/>
            <w:hideMark/>
          </w:tcPr>
          <w:p w14:paraId="51347B43"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Nákup materiálu</w:t>
            </w:r>
          </w:p>
        </w:tc>
        <w:tc>
          <w:tcPr>
            <w:tcW w:w="1701" w:type="dxa"/>
            <w:tcBorders>
              <w:top w:val="nil"/>
              <w:left w:val="nil"/>
              <w:bottom w:val="nil"/>
              <w:right w:val="single" w:sz="4" w:space="0" w:color="auto"/>
            </w:tcBorders>
            <w:shd w:val="clear" w:color="auto" w:fill="auto"/>
            <w:noWrap/>
            <w:vAlign w:val="center"/>
            <w:hideMark/>
          </w:tcPr>
          <w:p w14:paraId="51347B44"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5 852 430</w:t>
            </w:r>
          </w:p>
        </w:tc>
      </w:tr>
      <w:tr w:rsidR="00B016A1" w:rsidRPr="00B016A1" w14:paraId="51347B4A"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B46"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nil"/>
              <w:left w:val="nil"/>
              <w:bottom w:val="nil"/>
              <w:right w:val="dashed" w:sz="4" w:space="0" w:color="auto"/>
            </w:tcBorders>
            <w:shd w:val="clear" w:color="auto" w:fill="auto"/>
            <w:noWrap/>
            <w:vAlign w:val="center"/>
            <w:hideMark/>
          </w:tcPr>
          <w:p w14:paraId="51347B4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514</w:t>
            </w:r>
          </w:p>
        </w:tc>
        <w:tc>
          <w:tcPr>
            <w:tcW w:w="5422" w:type="dxa"/>
            <w:tcBorders>
              <w:top w:val="nil"/>
              <w:left w:val="nil"/>
              <w:bottom w:val="nil"/>
              <w:right w:val="dashed" w:sz="4" w:space="0" w:color="auto"/>
            </w:tcBorders>
            <w:shd w:val="clear" w:color="auto" w:fill="auto"/>
            <w:noWrap/>
            <w:vAlign w:val="center"/>
            <w:hideMark/>
          </w:tcPr>
          <w:p w14:paraId="51347B48"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Úroky a ostatní finanční výdaje</w:t>
            </w:r>
          </w:p>
        </w:tc>
        <w:tc>
          <w:tcPr>
            <w:tcW w:w="1701" w:type="dxa"/>
            <w:tcBorders>
              <w:top w:val="nil"/>
              <w:left w:val="nil"/>
              <w:bottom w:val="nil"/>
              <w:right w:val="single" w:sz="4" w:space="0" w:color="auto"/>
            </w:tcBorders>
            <w:shd w:val="clear" w:color="auto" w:fill="auto"/>
            <w:noWrap/>
            <w:vAlign w:val="center"/>
            <w:hideMark/>
          </w:tcPr>
          <w:p w14:paraId="51347B49"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80 000</w:t>
            </w:r>
          </w:p>
        </w:tc>
      </w:tr>
      <w:tr w:rsidR="00B016A1" w:rsidRPr="00B016A1" w14:paraId="51347B4F"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B4B"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nil"/>
              <w:left w:val="nil"/>
              <w:bottom w:val="nil"/>
              <w:right w:val="dashed" w:sz="4" w:space="0" w:color="auto"/>
            </w:tcBorders>
            <w:shd w:val="clear" w:color="auto" w:fill="auto"/>
            <w:noWrap/>
            <w:vAlign w:val="center"/>
            <w:hideMark/>
          </w:tcPr>
          <w:p w14:paraId="51347B4C"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515</w:t>
            </w:r>
          </w:p>
        </w:tc>
        <w:tc>
          <w:tcPr>
            <w:tcW w:w="5422" w:type="dxa"/>
            <w:tcBorders>
              <w:top w:val="nil"/>
              <w:left w:val="nil"/>
              <w:bottom w:val="nil"/>
              <w:right w:val="dashed" w:sz="4" w:space="0" w:color="auto"/>
            </w:tcBorders>
            <w:shd w:val="clear" w:color="auto" w:fill="auto"/>
            <w:noWrap/>
            <w:vAlign w:val="center"/>
            <w:hideMark/>
          </w:tcPr>
          <w:p w14:paraId="51347B4D"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Nákup vody, paliv a energie</w:t>
            </w:r>
          </w:p>
        </w:tc>
        <w:tc>
          <w:tcPr>
            <w:tcW w:w="1701" w:type="dxa"/>
            <w:tcBorders>
              <w:top w:val="nil"/>
              <w:left w:val="nil"/>
              <w:bottom w:val="nil"/>
              <w:right w:val="single" w:sz="4" w:space="0" w:color="auto"/>
            </w:tcBorders>
            <w:shd w:val="clear" w:color="auto" w:fill="auto"/>
            <w:noWrap/>
            <w:vAlign w:val="center"/>
            <w:hideMark/>
          </w:tcPr>
          <w:p w14:paraId="51347B4E"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6 820 000</w:t>
            </w:r>
          </w:p>
        </w:tc>
      </w:tr>
      <w:tr w:rsidR="00B016A1" w:rsidRPr="00B016A1" w14:paraId="51347B54"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B50"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nil"/>
              <w:left w:val="nil"/>
              <w:bottom w:val="nil"/>
              <w:right w:val="dashed" w:sz="4" w:space="0" w:color="auto"/>
            </w:tcBorders>
            <w:shd w:val="clear" w:color="auto" w:fill="auto"/>
            <w:noWrap/>
            <w:vAlign w:val="center"/>
            <w:hideMark/>
          </w:tcPr>
          <w:p w14:paraId="51347B5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516</w:t>
            </w:r>
          </w:p>
        </w:tc>
        <w:tc>
          <w:tcPr>
            <w:tcW w:w="5422" w:type="dxa"/>
            <w:tcBorders>
              <w:top w:val="nil"/>
              <w:left w:val="nil"/>
              <w:bottom w:val="nil"/>
              <w:right w:val="dashed" w:sz="4" w:space="0" w:color="auto"/>
            </w:tcBorders>
            <w:shd w:val="clear" w:color="auto" w:fill="auto"/>
            <w:noWrap/>
            <w:vAlign w:val="center"/>
            <w:hideMark/>
          </w:tcPr>
          <w:p w14:paraId="51347B52"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Nákup služeb</w:t>
            </w:r>
          </w:p>
        </w:tc>
        <w:tc>
          <w:tcPr>
            <w:tcW w:w="1701" w:type="dxa"/>
            <w:tcBorders>
              <w:top w:val="nil"/>
              <w:left w:val="nil"/>
              <w:bottom w:val="nil"/>
              <w:right w:val="single" w:sz="4" w:space="0" w:color="auto"/>
            </w:tcBorders>
            <w:shd w:val="clear" w:color="auto" w:fill="auto"/>
            <w:noWrap/>
            <w:vAlign w:val="center"/>
            <w:hideMark/>
          </w:tcPr>
          <w:p w14:paraId="51347B53"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41 804 420</w:t>
            </w:r>
          </w:p>
        </w:tc>
      </w:tr>
      <w:tr w:rsidR="00B016A1" w:rsidRPr="00B016A1" w14:paraId="51347B59"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B55"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nil"/>
              <w:left w:val="nil"/>
              <w:bottom w:val="nil"/>
              <w:right w:val="dashed" w:sz="4" w:space="0" w:color="auto"/>
            </w:tcBorders>
            <w:shd w:val="clear" w:color="auto" w:fill="auto"/>
            <w:noWrap/>
            <w:vAlign w:val="center"/>
            <w:hideMark/>
          </w:tcPr>
          <w:p w14:paraId="51347B56"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517</w:t>
            </w:r>
          </w:p>
        </w:tc>
        <w:tc>
          <w:tcPr>
            <w:tcW w:w="5422" w:type="dxa"/>
            <w:tcBorders>
              <w:top w:val="nil"/>
              <w:left w:val="nil"/>
              <w:bottom w:val="nil"/>
              <w:right w:val="dashed" w:sz="4" w:space="0" w:color="auto"/>
            </w:tcBorders>
            <w:shd w:val="clear" w:color="auto" w:fill="auto"/>
            <w:noWrap/>
            <w:vAlign w:val="center"/>
            <w:hideMark/>
          </w:tcPr>
          <w:p w14:paraId="51347B57"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Ostatní nákupy</w:t>
            </w:r>
          </w:p>
        </w:tc>
        <w:tc>
          <w:tcPr>
            <w:tcW w:w="1701" w:type="dxa"/>
            <w:tcBorders>
              <w:top w:val="nil"/>
              <w:left w:val="nil"/>
              <w:bottom w:val="nil"/>
              <w:right w:val="single" w:sz="4" w:space="0" w:color="auto"/>
            </w:tcBorders>
            <w:shd w:val="clear" w:color="auto" w:fill="auto"/>
            <w:noWrap/>
            <w:vAlign w:val="center"/>
            <w:hideMark/>
          </w:tcPr>
          <w:p w14:paraId="51347B58"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11 918 619</w:t>
            </w:r>
          </w:p>
        </w:tc>
      </w:tr>
      <w:tr w:rsidR="00B016A1" w:rsidRPr="00B016A1" w14:paraId="51347B5E"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B5A"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nil"/>
              <w:left w:val="nil"/>
              <w:bottom w:val="nil"/>
              <w:right w:val="dashed" w:sz="4" w:space="0" w:color="auto"/>
            </w:tcBorders>
            <w:shd w:val="clear" w:color="auto" w:fill="auto"/>
            <w:noWrap/>
            <w:vAlign w:val="center"/>
            <w:hideMark/>
          </w:tcPr>
          <w:p w14:paraId="51347B5B"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519</w:t>
            </w:r>
          </w:p>
        </w:tc>
        <w:tc>
          <w:tcPr>
            <w:tcW w:w="5422" w:type="dxa"/>
            <w:tcBorders>
              <w:top w:val="nil"/>
              <w:left w:val="nil"/>
              <w:bottom w:val="nil"/>
              <w:right w:val="dashed" w:sz="4" w:space="0" w:color="auto"/>
            </w:tcBorders>
            <w:shd w:val="clear" w:color="auto" w:fill="auto"/>
            <w:noWrap/>
            <w:vAlign w:val="center"/>
            <w:hideMark/>
          </w:tcPr>
          <w:p w14:paraId="51347B5C"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Výdaje související s neinvestičními nákupy, příspěvky, náhrady</w:t>
            </w:r>
          </w:p>
        </w:tc>
        <w:tc>
          <w:tcPr>
            <w:tcW w:w="1701" w:type="dxa"/>
            <w:tcBorders>
              <w:top w:val="nil"/>
              <w:left w:val="nil"/>
              <w:bottom w:val="nil"/>
              <w:right w:val="single" w:sz="4" w:space="0" w:color="auto"/>
            </w:tcBorders>
            <w:shd w:val="clear" w:color="auto" w:fill="auto"/>
            <w:noWrap/>
            <w:vAlign w:val="center"/>
            <w:hideMark/>
          </w:tcPr>
          <w:p w14:paraId="51347B5D"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1 364 500</w:t>
            </w:r>
          </w:p>
        </w:tc>
      </w:tr>
      <w:tr w:rsidR="00B016A1" w:rsidRPr="00B016A1" w14:paraId="51347B63"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B5F"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nil"/>
              <w:left w:val="nil"/>
              <w:bottom w:val="nil"/>
              <w:right w:val="dashed" w:sz="4" w:space="0" w:color="auto"/>
            </w:tcBorders>
            <w:shd w:val="clear" w:color="auto" w:fill="auto"/>
            <w:noWrap/>
            <w:vAlign w:val="center"/>
            <w:hideMark/>
          </w:tcPr>
          <w:p w14:paraId="51347B60"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523</w:t>
            </w:r>
          </w:p>
        </w:tc>
        <w:tc>
          <w:tcPr>
            <w:tcW w:w="5422" w:type="dxa"/>
            <w:tcBorders>
              <w:top w:val="nil"/>
              <w:left w:val="nil"/>
              <w:bottom w:val="nil"/>
              <w:right w:val="dashed" w:sz="4" w:space="0" w:color="auto"/>
            </w:tcBorders>
            <w:shd w:val="clear" w:color="auto" w:fill="auto"/>
            <w:vAlign w:val="center"/>
            <w:hideMark/>
          </w:tcPr>
          <w:p w14:paraId="51347B61"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nedotační transfery podnikatelským subjektům</w:t>
            </w:r>
          </w:p>
        </w:tc>
        <w:tc>
          <w:tcPr>
            <w:tcW w:w="1701" w:type="dxa"/>
            <w:tcBorders>
              <w:top w:val="nil"/>
              <w:left w:val="nil"/>
              <w:bottom w:val="nil"/>
              <w:right w:val="single" w:sz="4" w:space="0" w:color="auto"/>
            </w:tcBorders>
            <w:shd w:val="clear" w:color="auto" w:fill="auto"/>
            <w:noWrap/>
            <w:vAlign w:val="center"/>
            <w:hideMark/>
          </w:tcPr>
          <w:p w14:paraId="51347B62"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350 000</w:t>
            </w:r>
          </w:p>
        </w:tc>
      </w:tr>
      <w:tr w:rsidR="00B016A1" w:rsidRPr="00B016A1" w14:paraId="51347B68"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B64"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nil"/>
              <w:left w:val="nil"/>
              <w:bottom w:val="nil"/>
              <w:right w:val="dashed" w:sz="4" w:space="0" w:color="auto"/>
            </w:tcBorders>
            <w:shd w:val="clear" w:color="auto" w:fill="auto"/>
            <w:noWrap/>
            <w:vAlign w:val="center"/>
            <w:hideMark/>
          </w:tcPr>
          <w:p w14:paraId="51347B65"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524</w:t>
            </w:r>
          </w:p>
        </w:tc>
        <w:tc>
          <w:tcPr>
            <w:tcW w:w="5422" w:type="dxa"/>
            <w:tcBorders>
              <w:top w:val="nil"/>
              <w:left w:val="nil"/>
              <w:bottom w:val="nil"/>
              <w:right w:val="dashed" w:sz="4" w:space="0" w:color="auto"/>
            </w:tcBorders>
            <w:shd w:val="clear" w:color="auto" w:fill="auto"/>
            <w:vAlign w:val="center"/>
            <w:hideMark/>
          </w:tcPr>
          <w:p w14:paraId="51347B66"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nedotační transfery neziskovým a podobným organizacím</w:t>
            </w:r>
          </w:p>
        </w:tc>
        <w:tc>
          <w:tcPr>
            <w:tcW w:w="1701" w:type="dxa"/>
            <w:tcBorders>
              <w:top w:val="nil"/>
              <w:left w:val="nil"/>
              <w:bottom w:val="nil"/>
              <w:right w:val="single" w:sz="4" w:space="0" w:color="auto"/>
            </w:tcBorders>
            <w:shd w:val="clear" w:color="auto" w:fill="auto"/>
            <w:noWrap/>
            <w:vAlign w:val="center"/>
            <w:hideMark/>
          </w:tcPr>
          <w:p w14:paraId="51347B67"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675 000</w:t>
            </w:r>
          </w:p>
        </w:tc>
      </w:tr>
      <w:tr w:rsidR="00B016A1" w:rsidRPr="00B016A1" w14:paraId="51347B6D"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B69"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nil"/>
              <w:left w:val="nil"/>
              <w:bottom w:val="nil"/>
              <w:right w:val="dashed" w:sz="4" w:space="0" w:color="auto"/>
            </w:tcBorders>
            <w:shd w:val="clear" w:color="auto" w:fill="auto"/>
            <w:noWrap/>
            <w:vAlign w:val="center"/>
            <w:hideMark/>
          </w:tcPr>
          <w:p w14:paraId="51347B6A"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534</w:t>
            </w:r>
          </w:p>
        </w:tc>
        <w:tc>
          <w:tcPr>
            <w:tcW w:w="5422" w:type="dxa"/>
            <w:tcBorders>
              <w:top w:val="nil"/>
              <w:left w:val="nil"/>
              <w:bottom w:val="nil"/>
              <w:right w:val="dashed" w:sz="4" w:space="0" w:color="auto"/>
            </w:tcBorders>
            <w:shd w:val="clear" w:color="auto" w:fill="auto"/>
            <w:vAlign w:val="center"/>
            <w:hideMark/>
          </w:tcPr>
          <w:p w14:paraId="51347B6B"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Převody vlastním fondům a ve vztahu k útvarům bez plné právní subj</w:t>
            </w:r>
            <w:r w:rsidR="0085383F">
              <w:rPr>
                <w:rFonts w:ascii="Times New Roman" w:hAnsi="Times New Roman"/>
                <w:color w:val="000000"/>
                <w:sz w:val="22"/>
                <w:szCs w:val="22"/>
              </w:rPr>
              <w:t>ekt</w:t>
            </w:r>
            <w:r w:rsidRPr="00B016A1">
              <w:rPr>
                <w:rFonts w:ascii="Times New Roman" w:hAnsi="Times New Roman"/>
                <w:color w:val="000000"/>
                <w:sz w:val="22"/>
                <w:szCs w:val="22"/>
              </w:rPr>
              <w:t>.</w:t>
            </w:r>
          </w:p>
        </w:tc>
        <w:tc>
          <w:tcPr>
            <w:tcW w:w="1701" w:type="dxa"/>
            <w:tcBorders>
              <w:top w:val="nil"/>
              <w:left w:val="nil"/>
              <w:bottom w:val="nil"/>
              <w:right w:val="single" w:sz="4" w:space="0" w:color="auto"/>
            </w:tcBorders>
            <w:shd w:val="clear" w:color="auto" w:fill="auto"/>
            <w:noWrap/>
            <w:vAlign w:val="center"/>
            <w:hideMark/>
          </w:tcPr>
          <w:p w14:paraId="51347B6C"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1 895 371</w:t>
            </w:r>
          </w:p>
        </w:tc>
      </w:tr>
      <w:tr w:rsidR="00B016A1" w:rsidRPr="00B016A1" w14:paraId="51347B72"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B6E"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nil"/>
              <w:left w:val="nil"/>
              <w:bottom w:val="nil"/>
              <w:right w:val="dashed" w:sz="4" w:space="0" w:color="auto"/>
            </w:tcBorders>
            <w:shd w:val="clear" w:color="auto" w:fill="auto"/>
            <w:noWrap/>
            <w:vAlign w:val="center"/>
            <w:hideMark/>
          </w:tcPr>
          <w:p w14:paraId="51347B6F"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536</w:t>
            </w:r>
          </w:p>
        </w:tc>
        <w:tc>
          <w:tcPr>
            <w:tcW w:w="5422" w:type="dxa"/>
            <w:tcBorders>
              <w:top w:val="nil"/>
              <w:left w:val="nil"/>
              <w:bottom w:val="nil"/>
              <w:right w:val="dashed" w:sz="4" w:space="0" w:color="auto"/>
            </w:tcBorders>
            <w:shd w:val="clear" w:color="auto" w:fill="auto"/>
            <w:noWrap/>
            <w:vAlign w:val="center"/>
            <w:hideMark/>
          </w:tcPr>
          <w:p w14:paraId="51347B70"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Ostatní neinvestiční transfery jiným veřejným rozpočtům</w:t>
            </w:r>
          </w:p>
        </w:tc>
        <w:tc>
          <w:tcPr>
            <w:tcW w:w="1701" w:type="dxa"/>
            <w:tcBorders>
              <w:top w:val="nil"/>
              <w:left w:val="nil"/>
              <w:bottom w:val="nil"/>
              <w:right w:val="single" w:sz="4" w:space="0" w:color="auto"/>
            </w:tcBorders>
            <w:shd w:val="clear" w:color="auto" w:fill="auto"/>
            <w:noWrap/>
            <w:vAlign w:val="center"/>
            <w:hideMark/>
          </w:tcPr>
          <w:p w14:paraId="51347B71"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100 000</w:t>
            </w:r>
          </w:p>
        </w:tc>
      </w:tr>
      <w:tr w:rsidR="00B016A1" w:rsidRPr="00B016A1" w14:paraId="51347B77"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B73"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nil"/>
              <w:left w:val="nil"/>
              <w:bottom w:val="nil"/>
              <w:right w:val="dashed" w:sz="4" w:space="0" w:color="auto"/>
            </w:tcBorders>
            <w:shd w:val="clear" w:color="auto" w:fill="auto"/>
            <w:noWrap/>
            <w:vAlign w:val="center"/>
            <w:hideMark/>
          </w:tcPr>
          <w:p w14:paraId="51347B74"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542</w:t>
            </w:r>
          </w:p>
        </w:tc>
        <w:tc>
          <w:tcPr>
            <w:tcW w:w="5422" w:type="dxa"/>
            <w:tcBorders>
              <w:top w:val="nil"/>
              <w:left w:val="nil"/>
              <w:bottom w:val="nil"/>
              <w:right w:val="dashed" w:sz="4" w:space="0" w:color="auto"/>
            </w:tcBorders>
            <w:shd w:val="clear" w:color="auto" w:fill="auto"/>
            <w:noWrap/>
            <w:vAlign w:val="center"/>
            <w:hideMark/>
          </w:tcPr>
          <w:p w14:paraId="51347B75"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Náhrady placené obyvatelstvu</w:t>
            </w:r>
          </w:p>
        </w:tc>
        <w:tc>
          <w:tcPr>
            <w:tcW w:w="1701" w:type="dxa"/>
            <w:tcBorders>
              <w:top w:val="nil"/>
              <w:left w:val="nil"/>
              <w:bottom w:val="nil"/>
              <w:right w:val="single" w:sz="4" w:space="0" w:color="auto"/>
            </w:tcBorders>
            <w:shd w:val="clear" w:color="auto" w:fill="auto"/>
            <w:noWrap/>
            <w:vAlign w:val="center"/>
            <w:hideMark/>
          </w:tcPr>
          <w:p w14:paraId="51347B76"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626 300</w:t>
            </w:r>
          </w:p>
        </w:tc>
      </w:tr>
      <w:tr w:rsidR="00B016A1" w:rsidRPr="00B016A1" w14:paraId="51347B7C"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B78"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nil"/>
              <w:left w:val="nil"/>
              <w:bottom w:val="dashed" w:sz="4" w:space="0" w:color="auto"/>
              <w:right w:val="dashed" w:sz="4" w:space="0" w:color="auto"/>
            </w:tcBorders>
            <w:shd w:val="clear" w:color="auto" w:fill="auto"/>
            <w:noWrap/>
            <w:vAlign w:val="center"/>
            <w:hideMark/>
          </w:tcPr>
          <w:p w14:paraId="51347B79"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549</w:t>
            </w:r>
          </w:p>
        </w:tc>
        <w:tc>
          <w:tcPr>
            <w:tcW w:w="5422" w:type="dxa"/>
            <w:tcBorders>
              <w:top w:val="nil"/>
              <w:left w:val="nil"/>
              <w:bottom w:val="dashed" w:sz="4" w:space="0" w:color="auto"/>
              <w:right w:val="dashed" w:sz="4" w:space="0" w:color="auto"/>
            </w:tcBorders>
            <w:shd w:val="clear" w:color="auto" w:fill="auto"/>
            <w:noWrap/>
            <w:vAlign w:val="center"/>
            <w:hideMark/>
          </w:tcPr>
          <w:p w14:paraId="51347B7A"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Ostatní neinvestiční transfery obyvatelstvu</w:t>
            </w:r>
          </w:p>
        </w:tc>
        <w:tc>
          <w:tcPr>
            <w:tcW w:w="1701" w:type="dxa"/>
            <w:tcBorders>
              <w:top w:val="nil"/>
              <w:left w:val="nil"/>
              <w:bottom w:val="dashed" w:sz="4" w:space="0" w:color="auto"/>
              <w:right w:val="single" w:sz="4" w:space="0" w:color="auto"/>
            </w:tcBorders>
            <w:shd w:val="clear" w:color="auto" w:fill="auto"/>
            <w:noWrap/>
            <w:vAlign w:val="center"/>
            <w:hideMark/>
          </w:tcPr>
          <w:p w14:paraId="51347B7B"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3 450 000</w:t>
            </w:r>
          </w:p>
        </w:tc>
      </w:tr>
      <w:tr w:rsidR="00B016A1" w:rsidRPr="00B016A1" w14:paraId="51347B80" w14:textId="77777777" w:rsidTr="000D3104">
        <w:trPr>
          <w:trHeight w:val="559"/>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B7D"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336100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B7E"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Činnost ústředního orgánu státní správy v oblasti kultury a církví</w:t>
            </w:r>
          </w:p>
        </w:tc>
        <w:tc>
          <w:tcPr>
            <w:tcW w:w="1701" w:type="dxa"/>
            <w:tcBorders>
              <w:top w:val="nil"/>
              <w:left w:val="nil"/>
              <w:bottom w:val="dashed" w:sz="4" w:space="0" w:color="auto"/>
              <w:right w:val="single" w:sz="4" w:space="0" w:color="auto"/>
            </w:tcBorders>
            <w:shd w:val="clear" w:color="auto" w:fill="auto"/>
            <w:noWrap/>
            <w:vAlign w:val="center"/>
            <w:hideMark/>
          </w:tcPr>
          <w:p w14:paraId="51347B7F"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256 125 364</w:t>
            </w:r>
          </w:p>
        </w:tc>
      </w:tr>
      <w:tr w:rsidR="00B016A1" w:rsidRPr="00B016A1" w14:paraId="51347B85" w14:textId="77777777" w:rsidTr="000D3104">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B8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lastRenderedPageBreak/>
              <w:t>526134</w:t>
            </w:r>
          </w:p>
        </w:tc>
        <w:tc>
          <w:tcPr>
            <w:tcW w:w="1240" w:type="dxa"/>
            <w:tcBorders>
              <w:top w:val="dashed" w:sz="4" w:space="0" w:color="auto"/>
              <w:left w:val="nil"/>
              <w:bottom w:val="dashed" w:sz="4" w:space="0" w:color="auto"/>
              <w:right w:val="dashed" w:sz="4" w:space="0" w:color="auto"/>
            </w:tcBorders>
            <w:shd w:val="clear" w:color="auto" w:fill="auto"/>
            <w:noWrap/>
            <w:vAlign w:val="center"/>
            <w:hideMark/>
          </w:tcPr>
          <w:p w14:paraId="51347B82"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516</w:t>
            </w:r>
          </w:p>
        </w:tc>
        <w:tc>
          <w:tcPr>
            <w:tcW w:w="5422" w:type="dxa"/>
            <w:tcBorders>
              <w:top w:val="dashed" w:sz="4" w:space="0" w:color="auto"/>
              <w:left w:val="nil"/>
              <w:bottom w:val="dashed" w:sz="4" w:space="0" w:color="auto"/>
              <w:right w:val="dashed" w:sz="4" w:space="0" w:color="auto"/>
            </w:tcBorders>
            <w:shd w:val="clear" w:color="auto" w:fill="auto"/>
            <w:noWrap/>
            <w:vAlign w:val="center"/>
            <w:hideMark/>
          </w:tcPr>
          <w:p w14:paraId="51347B83"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Nákup služeb</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B84"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50 000</w:t>
            </w:r>
          </w:p>
        </w:tc>
      </w:tr>
      <w:tr w:rsidR="00B016A1" w:rsidRPr="00B016A1" w14:paraId="51347B89" w14:textId="77777777" w:rsidTr="00B016A1">
        <w:trPr>
          <w:trHeight w:val="559"/>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B86"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526134</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B87" w14:textId="77777777" w:rsidR="00B016A1" w:rsidRPr="00B016A1" w:rsidRDefault="00B016A1" w:rsidP="000D3104">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Zajištění přípravy na krizové situace podle zákona č. 240/2000 Sb.</w:t>
            </w:r>
          </w:p>
        </w:tc>
        <w:tc>
          <w:tcPr>
            <w:tcW w:w="1701" w:type="dxa"/>
            <w:tcBorders>
              <w:top w:val="nil"/>
              <w:left w:val="nil"/>
              <w:bottom w:val="single" w:sz="4" w:space="0" w:color="auto"/>
              <w:right w:val="single" w:sz="4" w:space="0" w:color="auto"/>
            </w:tcBorders>
            <w:shd w:val="clear" w:color="auto" w:fill="auto"/>
            <w:noWrap/>
            <w:vAlign w:val="center"/>
            <w:hideMark/>
          </w:tcPr>
          <w:p w14:paraId="51347B88"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50 000</w:t>
            </w:r>
          </w:p>
        </w:tc>
      </w:tr>
      <w:tr w:rsidR="00B016A1" w:rsidRPr="00B016A1" w14:paraId="51347B8E" w14:textId="77777777" w:rsidTr="00B016A1">
        <w:trPr>
          <w:trHeight w:val="360"/>
        </w:trPr>
        <w:tc>
          <w:tcPr>
            <w:tcW w:w="1008" w:type="dxa"/>
            <w:tcBorders>
              <w:top w:val="nil"/>
              <w:left w:val="nil"/>
              <w:bottom w:val="nil"/>
              <w:right w:val="nil"/>
            </w:tcBorders>
            <w:shd w:val="clear" w:color="auto" w:fill="auto"/>
            <w:noWrap/>
            <w:vAlign w:val="center"/>
            <w:hideMark/>
          </w:tcPr>
          <w:p w14:paraId="51347B8A" w14:textId="77777777" w:rsidR="00B016A1" w:rsidRPr="00B016A1" w:rsidRDefault="00B016A1" w:rsidP="00B016A1">
            <w:pPr>
              <w:spacing w:line="240" w:lineRule="auto"/>
              <w:jc w:val="center"/>
              <w:rPr>
                <w:rFonts w:ascii="Times New Roman" w:hAnsi="Times New Roman"/>
                <w:b/>
                <w:bCs/>
                <w:color w:val="000000"/>
                <w:sz w:val="22"/>
                <w:szCs w:val="22"/>
              </w:rPr>
            </w:pPr>
          </w:p>
        </w:tc>
        <w:tc>
          <w:tcPr>
            <w:tcW w:w="1240" w:type="dxa"/>
            <w:tcBorders>
              <w:top w:val="nil"/>
              <w:left w:val="nil"/>
              <w:bottom w:val="nil"/>
              <w:right w:val="nil"/>
            </w:tcBorders>
            <w:shd w:val="clear" w:color="auto" w:fill="auto"/>
            <w:vAlign w:val="center"/>
            <w:hideMark/>
          </w:tcPr>
          <w:p w14:paraId="51347B8B" w14:textId="77777777" w:rsidR="00B016A1" w:rsidRPr="00B016A1" w:rsidRDefault="00B016A1" w:rsidP="00B016A1">
            <w:pPr>
              <w:spacing w:line="240" w:lineRule="auto"/>
              <w:jc w:val="left"/>
              <w:rPr>
                <w:rFonts w:ascii="Times New Roman" w:hAnsi="Times New Roman"/>
                <w:b/>
                <w:bCs/>
                <w:color w:val="000000"/>
                <w:sz w:val="22"/>
                <w:szCs w:val="22"/>
              </w:rPr>
            </w:pPr>
          </w:p>
        </w:tc>
        <w:tc>
          <w:tcPr>
            <w:tcW w:w="5422" w:type="dxa"/>
            <w:tcBorders>
              <w:top w:val="nil"/>
              <w:left w:val="nil"/>
              <w:bottom w:val="nil"/>
              <w:right w:val="nil"/>
            </w:tcBorders>
            <w:shd w:val="clear" w:color="auto" w:fill="auto"/>
            <w:vAlign w:val="center"/>
            <w:hideMark/>
          </w:tcPr>
          <w:p w14:paraId="51347B8C" w14:textId="77777777" w:rsidR="00B016A1" w:rsidRPr="00B016A1" w:rsidRDefault="00B016A1" w:rsidP="00B016A1">
            <w:pPr>
              <w:spacing w:line="240" w:lineRule="auto"/>
              <w:jc w:val="left"/>
              <w:rPr>
                <w:rFonts w:ascii="Times New Roman" w:hAnsi="Times New Roman"/>
                <w:b/>
                <w:bCs/>
                <w:color w:val="000000"/>
                <w:sz w:val="22"/>
                <w:szCs w:val="22"/>
              </w:rPr>
            </w:pPr>
          </w:p>
        </w:tc>
        <w:tc>
          <w:tcPr>
            <w:tcW w:w="1701" w:type="dxa"/>
            <w:tcBorders>
              <w:top w:val="nil"/>
              <w:left w:val="nil"/>
              <w:bottom w:val="nil"/>
              <w:right w:val="nil"/>
            </w:tcBorders>
            <w:shd w:val="clear" w:color="auto" w:fill="auto"/>
            <w:noWrap/>
            <w:vAlign w:val="center"/>
            <w:hideMark/>
          </w:tcPr>
          <w:p w14:paraId="51347B8D" w14:textId="77777777" w:rsidR="00B016A1" w:rsidRPr="00B016A1" w:rsidRDefault="00B016A1" w:rsidP="00B016A1">
            <w:pPr>
              <w:spacing w:line="240" w:lineRule="auto"/>
              <w:jc w:val="left"/>
              <w:rPr>
                <w:rFonts w:ascii="Times New Roman" w:hAnsi="Times New Roman"/>
                <w:b/>
                <w:bCs/>
                <w:color w:val="000000"/>
                <w:sz w:val="22"/>
                <w:szCs w:val="22"/>
              </w:rPr>
            </w:pPr>
          </w:p>
        </w:tc>
      </w:tr>
      <w:tr w:rsidR="00B016A1" w:rsidRPr="00B016A1" w14:paraId="51347B93" w14:textId="77777777" w:rsidTr="00B016A1">
        <w:trPr>
          <w:trHeight w:val="619"/>
        </w:trPr>
        <w:tc>
          <w:tcPr>
            <w:tcW w:w="1008" w:type="dxa"/>
            <w:tcBorders>
              <w:top w:val="nil"/>
              <w:left w:val="nil"/>
              <w:bottom w:val="nil"/>
              <w:right w:val="nil"/>
            </w:tcBorders>
            <w:shd w:val="clear" w:color="auto" w:fill="auto"/>
            <w:noWrap/>
            <w:vAlign w:val="bottom"/>
            <w:hideMark/>
          </w:tcPr>
          <w:p w14:paraId="51347B8F"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bottom"/>
            <w:hideMark/>
          </w:tcPr>
          <w:p w14:paraId="51347B90"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503004</w:t>
            </w:r>
          </w:p>
        </w:tc>
        <w:tc>
          <w:tcPr>
            <w:tcW w:w="5422" w:type="dxa"/>
            <w:tcBorders>
              <w:top w:val="nil"/>
              <w:left w:val="nil"/>
              <w:bottom w:val="nil"/>
              <w:right w:val="nil"/>
            </w:tcBorders>
            <w:shd w:val="clear" w:color="auto" w:fill="auto"/>
            <w:vAlign w:val="bottom"/>
            <w:hideMark/>
          </w:tcPr>
          <w:p w14:paraId="51347B91"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Platby mezinárodním společnostem a dalším organizacím</w:t>
            </w:r>
          </w:p>
        </w:tc>
        <w:tc>
          <w:tcPr>
            <w:tcW w:w="1701" w:type="dxa"/>
            <w:tcBorders>
              <w:top w:val="nil"/>
              <w:left w:val="nil"/>
              <w:bottom w:val="nil"/>
              <w:right w:val="nil"/>
            </w:tcBorders>
            <w:shd w:val="clear" w:color="auto" w:fill="auto"/>
            <w:noWrap/>
            <w:vAlign w:val="bottom"/>
            <w:hideMark/>
          </w:tcPr>
          <w:p w14:paraId="51347B92"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25 060 500</w:t>
            </w:r>
          </w:p>
        </w:tc>
      </w:tr>
      <w:tr w:rsidR="00B016A1" w:rsidRPr="00B016A1" w14:paraId="51347B98" w14:textId="77777777" w:rsidTr="00B016A1">
        <w:trPr>
          <w:trHeight w:val="360"/>
        </w:trPr>
        <w:tc>
          <w:tcPr>
            <w:tcW w:w="1008" w:type="dxa"/>
            <w:tcBorders>
              <w:top w:val="nil"/>
              <w:left w:val="nil"/>
              <w:bottom w:val="nil"/>
              <w:right w:val="nil"/>
            </w:tcBorders>
            <w:shd w:val="clear" w:color="auto" w:fill="auto"/>
            <w:noWrap/>
            <w:vAlign w:val="center"/>
            <w:hideMark/>
          </w:tcPr>
          <w:p w14:paraId="51347B94"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 xml:space="preserve">v tom: </w:t>
            </w:r>
          </w:p>
        </w:tc>
        <w:tc>
          <w:tcPr>
            <w:tcW w:w="1240" w:type="dxa"/>
            <w:tcBorders>
              <w:top w:val="nil"/>
              <w:left w:val="nil"/>
              <w:bottom w:val="nil"/>
              <w:right w:val="nil"/>
            </w:tcBorders>
            <w:shd w:val="clear" w:color="auto" w:fill="auto"/>
            <w:noWrap/>
            <w:vAlign w:val="center"/>
            <w:hideMark/>
          </w:tcPr>
          <w:p w14:paraId="51347B95"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1100000</w:t>
            </w:r>
          </w:p>
        </w:tc>
        <w:tc>
          <w:tcPr>
            <w:tcW w:w="5422" w:type="dxa"/>
            <w:tcBorders>
              <w:top w:val="nil"/>
              <w:left w:val="nil"/>
              <w:bottom w:val="nil"/>
              <w:right w:val="nil"/>
            </w:tcBorders>
            <w:shd w:val="clear" w:color="auto" w:fill="auto"/>
            <w:noWrap/>
            <w:vAlign w:val="center"/>
            <w:hideMark/>
          </w:tcPr>
          <w:p w14:paraId="51347B96"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zdroj SR - základní</w:t>
            </w:r>
          </w:p>
        </w:tc>
        <w:tc>
          <w:tcPr>
            <w:tcW w:w="1701" w:type="dxa"/>
            <w:tcBorders>
              <w:top w:val="nil"/>
              <w:left w:val="nil"/>
              <w:bottom w:val="nil"/>
              <w:right w:val="nil"/>
            </w:tcBorders>
            <w:shd w:val="clear" w:color="auto" w:fill="auto"/>
            <w:noWrap/>
            <w:vAlign w:val="center"/>
            <w:hideMark/>
          </w:tcPr>
          <w:p w14:paraId="51347B97"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25 060 500</w:t>
            </w:r>
          </w:p>
        </w:tc>
      </w:tr>
      <w:tr w:rsidR="00B016A1" w:rsidRPr="00B016A1" w14:paraId="51347B9D"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B99"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Paragraf</w:t>
            </w:r>
          </w:p>
        </w:tc>
        <w:tc>
          <w:tcPr>
            <w:tcW w:w="1240" w:type="dxa"/>
            <w:tcBorders>
              <w:top w:val="single" w:sz="4" w:space="0" w:color="auto"/>
              <w:left w:val="nil"/>
              <w:bottom w:val="nil"/>
              <w:right w:val="dashed" w:sz="4" w:space="0" w:color="auto"/>
            </w:tcBorders>
            <w:shd w:val="clear" w:color="auto" w:fill="auto"/>
            <w:vAlign w:val="center"/>
            <w:hideMark/>
          </w:tcPr>
          <w:p w14:paraId="51347B9A"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B9B"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B9C"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BA2"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B9E"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331900</w:t>
            </w:r>
          </w:p>
        </w:tc>
        <w:tc>
          <w:tcPr>
            <w:tcW w:w="1240" w:type="dxa"/>
            <w:tcBorders>
              <w:top w:val="dashed" w:sz="4" w:space="0" w:color="auto"/>
              <w:left w:val="nil"/>
              <w:bottom w:val="dashed" w:sz="4" w:space="0" w:color="auto"/>
              <w:right w:val="dashed" w:sz="4" w:space="0" w:color="auto"/>
            </w:tcBorders>
            <w:shd w:val="clear" w:color="auto" w:fill="auto"/>
            <w:noWrap/>
            <w:vAlign w:val="center"/>
            <w:hideMark/>
          </w:tcPr>
          <w:p w14:paraId="51347B9F"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dashed" w:sz="4" w:space="0" w:color="auto"/>
              <w:left w:val="nil"/>
              <w:bottom w:val="dashed" w:sz="4" w:space="0" w:color="auto"/>
              <w:right w:val="dashed" w:sz="4" w:space="0" w:color="auto"/>
            </w:tcBorders>
            <w:shd w:val="clear" w:color="auto" w:fill="auto"/>
            <w:noWrap/>
            <w:vAlign w:val="center"/>
            <w:hideMark/>
          </w:tcPr>
          <w:p w14:paraId="51347BA0"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BA1"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2 500 000</w:t>
            </w:r>
          </w:p>
        </w:tc>
      </w:tr>
      <w:tr w:rsidR="00B016A1" w:rsidRPr="00B016A1" w14:paraId="51347BA6"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BA3"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331900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BA4"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Ostatní záležitosti kultury</w:t>
            </w:r>
          </w:p>
        </w:tc>
        <w:tc>
          <w:tcPr>
            <w:tcW w:w="1701" w:type="dxa"/>
            <w:tcBorders>
              <w:top w:val="nil"/>
              <w:left w:val="nil"/>
              <w:bottom w:val="nil"/>
              <w:right w:val="single" w:sz="4" w:space="0" w:color="auto"/>
            </w:tcBorders>
            <w:shd w:val="clear" w:color="auto" w:fill="auto"/>
            <w:noWrap/>
            <w:vAlign w:val="center"/>
            <w:hideMark/>
          </w:tcPr>
          <w:p w14:paraId="51347BA5"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2 500 000</w:t>
            </w:r>
          </w:p>
        </w:tc>
      </w:tr>
      <w:tr w:rsidR="00B016A1" w:rsidRPr="00B016A1" w14:paraId="51347BAB"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BA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332900</w:t>
            </w:r>
          </w:p>
        </w:tc>
        <w:tc>
          <w:tcPr>
            <w:tcW w:w="1240" w:type="dxa"/>
            <w:tcBorders>
              <w:top w:val="nil"/>
              <w:left w:val="nil"/>
              <w:bottom w:val="dashed" w:sz="4" w:space="0" w:color="auto"/>
              <w:right w:val="dashed" w:sz="4" w:space="0" w:color="auto"/>
            </w:tcBorders>
            <w:shd w:val="clear" w:color="auto" w:fill="auto"/>
            <w:noWrap/>
            <w:vAlign w:val="center"/>
            <w:hideMark/>
          </w:tcPr>
          <w:p w14:paraId="51347BA8"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nil"/>
              <w:left w:val="nil"/>
              <w:bottom w:val="dashed" w:sz="4" w:space="0" w:color="auto"/>
              <w:right w:val="dashed" w:sz="4" w:space="0" w:color="auto"/>
            </w:tcBorders>
            <w:shd w:val="clear" w:color="auto" w:fill="auto"/>
            <w:noWrap/>
            <w:vAlign w:val="center"/>
            <w:hideMark/>
          </w:tcPr>
          <w:p w14:paraId="51347BA9"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BAA"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11 185 000</w:t>
            </w:r>
          </w:p>
        </w:tc>
      </w:tr>
      <w:tr w:rsidR="00B016A1" w:rsidRPr="00B016A1" w14:paraId="51347BAF" w14:textId="77777777" w:rsidTr="00B016A1">
        <w:trPr>
          <w:trHeight w:val="559"/>
        </w:trPr>
        <w:tc>
          <w:tcPr>
            <w:tcW w:w="1008" w:type="dxa"/>
            <w:tcBorders>
              <w:top w:val="nil"/>
              <w:left w:val="single" w:sz="4" w:space="0" w:color="auto"/>
              <w:bottom w:val="nil"/>
              <w:right w:val="dashed" w:sz="4" w:space="0" w:color="auto"/>
            </w:tcBorders>
            <w:shd w:val="clear" w:color="auto" w:fill="auto"/>
            <w:noWrap/>
            <w:vAlign w:val="center"/>
            <w:hideMark/>
          </w:tcPr>
          <w:p w14:paraId="51347BAC"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332900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BAD"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Ostatní záležitosti ochrany památek a péče o kulturní dědictví</w:t>
            </w:r>
          </w:p>
        </w:tc>
        <w:tc>
          <w:tcPr>
            <w:tcW w:w="1701" w:type="dxa"/>
            <w:tcBorders>
              <w:top w:val="nil"/>
              <w:left w:val="nil"/>
              <w:bottom w:val="nil"/>
              <w:right w:val="single" w:sz="4" w:space="0" w:color="auto"/>
            </w:tcBorders>
            <w:shd w:val="clear" w:color="auto" w:fill="auto"/>
            <w:noWrap/>
            <w:vAlign w:val="center"/>
            <w:hideMark/>
          </w:tcPr>
          <w:p w14:paraId="51347BAE"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11 185 000</w:t>
            </w:r>
          </w:p>
        </w:tc>
      </w:tr>
      <w:tr w:rsidR="00B016A1" w:rsidRPr="00B016A1" w14:paraId="51347BB4"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BB0"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nil"/>
              <w:left w:val="nil"/>
              <w:bottom w:val="nil"/>
              <w:right w:val="dashed" w:sz="4" w:space="0" w:color="auto"/>
            </w:tcBorders>
            <w:shd w:val="clear" w:color="auto" w:fill="auto"/>
            <w:noWrap/>
            <w:vAlign w:val="center"/>
            <w:hideMark/>
          </w:tcPr>
          <w:p w14:paraId="51347BB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516</w:t>
            </w:r>
          </w:p>
        </w:tc>
        <w:tc>
          <w:tcPr>
            <w:tcW w:w="5422" w:type="dxa"/>
            <w:tcBorders>
              <w:top w:val="nil"/>
              <w:left w:val="nil"/>
              <w:bottom w:val="nil"/>
              <w:right w:val="dashed" w:sz="4" w:space="0" w:color="auto"/>
            </w:tcBorders>
            <w:shd w:val="clear" w:color="auto" w:fill="auto"/>
            <w:noWrap/>
            <w:vAlign w:val="center"/>
            <w:hideMark/>
          </w:tcPr>
          <w:p w14:paraId="51347BB2"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Nákup služeb</w:t>
            </w:r>
          </w:p>
        </w:tc>
        <w:tc>
          <w:tcPr>
            <w:tcW w:w="1701" w:type="dxa"/>
            <w:tcBorders>
              <w:top w:val="dashed" w:sz="4" w:space="0" w:color="auto"/>
              <w:left w:val="nil"/>
              <w:bottom w:val="nil"/>
              <w:right w:val="single" w:sz="4" w:space="0" w:color="auto"/>
            </w:tcBorders>
            <w:shd w:val="clear" w:color="auto" w:fill="auto"/>
            <w:noWrap/>
            <w:vAlign w:val="center"/>
            <w:hideMark/>
          </w:tcPr>
          <w:p w14:paraId="51347BB3"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1 300</w:t>
            </w:r>
          </w:p>
        </w:tc>
      </w:tr>
      <w:tr w:rsidR="00B016A1" w:rsidRPr="00B016A1" w14:paraId="51347BB9"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BB5"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nil"/>
              <w:left w:val="nil"/>
              <w:bottom w:val="dashed" w:sz="4" w:space="0" w:color="auto"/>
              <w:right w:val="dashed" w:sz="4" w:space="0" w:color="auto"/>
            </w:tcBorders>
            <w:shd w:val="clear" w:color="auto" w:fill="auto"/>
            <w:noWrap/>
            <w:vAlign w:val="center"/>
            <w:hideMark/>
          </w:tcPr>
          <w:p w14:paraId="51347BB6"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551</w:t>
            </w:r>
          </w:p>
        </w:tc>
        <w:tc>
          <w:tcPr>
            <w:tcW w:w="5422" w:type="dxa"/>
            <w:tcBorders>
              <w:top w:val="nil"/>
              <w:left w:val="nil"/>
              <w:bottom w:val="dashed" w:sz="4" w:space="0" w:color="auto"/>
              <w:right w:val="dashed" w:sz="4" w:space="0" w:color="auto"/>
            </w:tcBorders>
            <w:shd w:val="clear" w:color="auto" w:fill="auto"/>
            <w:vAlign w:val="center"/>
            <w:hideMark/>
          </w:tcPr>
          <w:p w14:paraId="51347BB7"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mezinárodním organizacím a nadnárodním orgánům</w:t>
            </w:r>
          </w:p>
        </w:tc>
        <w:tc>
          <w:tcPr>
            <w:tcW w:w="1701" w:type="dxa"/>
            <w:tcBorders>
              <w:top w:val="nil"/>
              <w:left w:val="nil"/>
              <w:bottom w:val="dashed" w:sz="4" w:space="0" w:color="auto"/>
              <w:right w:val="single" w:sz="4" w:space="0" w:color="auto"/>
            </w:tcBorders>
            <w:shd w:val="clear" w:color="auto" w:fill="auto"/>
            <w:noWrap/>
            <w:vAlign w:val="center"/>
            <w:hideMark/>
          </w:tcPr>
          <w:p w14:paraId="51347BB8"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10 124 200</w:t>
            </w:r>
          </w:p>
        </w:tc>
      </w:tr>
      <w:tr w:rsidR="00B016A1" w:rsidRPr="00B016A1" w14:paraId="51347BBD" w14:textId="77777777" w:rsidTr="00B016A1">
        <w:trPr>
          <w:trHeight w:val="559"/>
        </w:trPr>
        <w:tc>
          <w:tcPr>
            <w:tcW w:w="1008" w:type="dxa"/>
            <w:tcBorders>
              <w:top w:val="nil"/>
              <w:left w:val="single" w:sz="4" w:space="0" w:color="auto"/>
              <w:bottom w:val="nil"/>
              <w:right w:val="dashed" w:sz="4" w:space="0" w:color="auto"/>
            </w:tcBorders>
            <w:shd w:val="clear" w:color="auto" w:fill="auto"/>
            <w:noWrap/>
            <w:vAlign w:val="center"/>
            <w:hideMark/>
          </w:tcPr>
          <w:p w14:paraId="51347BBA"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336100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BBB"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Činnost ústředního orgánu státní správy v oblasti kultury a církví</w:t>
            </w:r>
          </w:p>
        </w:tc>
        <w:tc>
          <w:tcPr>
            <w:tcW w:w="1701" w:type="dxa"/>
            <w:tcBorders>
              <w:top w:val="nil"/>
              <w:left w:val="nil"/>
              <w:bottom w:val="nil"/>
              <w:right w:val="single" w:sz="4" w:space="0" w:color="auto"/>
            </w:tcBorders>
            <w:shd w:val="clear" w:color="auto" w:fill="auto"/>
            <w:noWrap/>
            <w:vAlign w:val="center"/>
            <w:hideMark/>
          </w:tcPr>
          <w:p w14:paraId="51347BBC"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10 125 500</w:t>
            </w:r>
          </w:p>
        </w:tc>
      </w:tr>
      <w:tr w:rsidR="00B016A1" w:rsidRPr="00B016A1" w14:paraId="51347BC2"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BBE"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339100</w:t>
            </w:r>
          </w:p>
        </w:tc>
        <w:tc>
          <w:tcPr>
            <w:tcW w:w="1240" w:type="dxa"/>
            <w:tcBorders>
              <w:top w:val="nil"/>
              <w:left w:val="nil"/>
              <w:bottom w:val="dashed" w:sz="4" w:space="0" w:color="auto"/>
              <w:right w:val="dashed" w:sz="4" w:space="0" w:color="auto"/>
            </w:tcBorders>
            <w:shd w:val="clear" w:color="auto" w:fill="auto"/>
            <w:noWrap/>
            <w:vAlign w:val="center"/>
            <w:hideMark/>
          </w:tcPr>
          <w:p w14:paraId="51347BBF"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dashed" w:sz="4" w:space="0" w:color="auto"/>
              <w:right w:val="dashed" w:sz="4" w:space="0" w:color="auto"/>
            </w:tcBorders>
            <w:shd w:val="clear" w:color="auto" w:fill="auto"/>
            <w:noWrap/>
            <w:vAlign w:val="center"/>
            <w:hideMark/>
          </w:tcPr>
          <w:p w14:paraId="51347BC0"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BC1"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1 250 000</w:t>
            </w:r>
          </w:p>
        </w:tc>
      </w:tr>
      <w:tr w:rsidR="00B016A1" w:rsidRPr="00B016A1" w14:paraId="51347BC6" w14:textId="77777777" w:rsidTr="00B016A1">
        <w:trPr>
          <w:trHeight w:val="559"/>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BC3"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339100</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BC4"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Mezinárodní spolupráce v kultuře, církvích a sdělovacích prostředcích</w:t>
            </w:r>
          </w:p>
        </w:tc>
        <w:tc>
          <w:tcPr>
            <w:tcW w:w="1701" w:type="dxa"/>
            <w:tcBorders>
              <w:top w:val="nil"/>
              <w:left w:val="nil"/>
              <w:bottom w:val="single" w:sz="4" w:space="0" w:color="auto"/>
              <w:right w:val="single" w:sz="4" w:space="0" w:color="auto"/>
            </w:tcBorders>
            <w:shd w:val="clear" w:color="auto" w:fill="auto"/>
            <w:noWrap/>
            <w:vAlign w:val="center"/>
            <w:hideMark/>
          </w:tcPr>
          <w:p w14:paraId="51347BC5"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1 250 000</w:t>
            </w:r>
          </w:p>
        </w:tc>
      </w:tr>
      <w:tr w:rsidR="00B016A1" w:rsidRPr="00B016A1" w14:paraId="51347BCB" w14:textId="77777777" w:rsidTr="000D3104">
        <w:trPr>
          <w:trHeight w:val="855"/>
        </w:trPr>
        <w:tc>
          <w:tcPr>
            <w:tcW w:w="1008" w:type="dxa"/>
            <w:tcBorders>
              <w:top w:val="nil"/>
              <w:left w:val="nil"/>
              <w:bottom w:val="nil"/>
              <w:right w:val="nil"/>
            </w:tcBorders>
            <w:shd w:val="clear" w:color="auto" w:fill="auto"/>
            <w:noWrap/>
            <w:vAlign w:val="center"/>
            <w:hideMark/>
          </w:tcPr>
          <w:p w14:paraId="51347BC7" w14:textId="77777777" w:rsidR="00B016A1" w:rsidRPr="00B016A1" w:rsidRDefault="00B016A1" w:rsidP="00B016A1">
            <w:pPr>
              <w:spacing w:line="240" w:lineRule="auto"/>
              <w:jc w:val="center"/>
              <w:rPr>
                <w:rFonts w:ascii="Times New Roman" w:hAnsi="Times New Roman"/>
                <w:b/>
                <w:bCs/>
                <w:color w:val="000000"/>
                <w:sz w:val="22"/>
                <w:szCs w:val="22"/>
              </w:rPr>
            </w:pPr>
          </w:p>
        </w:tc>
        <w:tc>
          <w:tcPr>
            <w:tcW w:w="1240" w:type="dxa"/>
            <w:tcBorders>
              <w:top w:val="nil"/>
              <w:left w:val="nil"/>
              <w:bottom w:val="nil"/>
              <w:right w:val="nil"/>
            </w:tcBorders>
            <w:shd w:val="clear" w:color="auto" w:fill="auto"/>
            <w:noWrap/>
            <w:vAlign w:val="center"/>
            <w:hideMark/>
          </w:tcPr>
          <w:p w14:paraId="51347BC8" w14:textId="77777777" w:rsidR="00B016A1" w:rsidRPr="00B016A1" w:rsidRDefault="00B016A1" w:rsidP="00B016A1">
            <w:pPr>
              <w:spacing w:line="240" w:lineRule="auto"/>
              <w:jc w:val="left"/>
              <w:rPr>
                <w:rFonts w:ascii="Times New Roman" w:hAnsi="Times New Roman"/>
                <w:b/>
                <w:bCs/>
                <w:color w:val="000000"/>
                <w:sz w:val="22"/>
                <w:szCs w:val="22"/>
              </w:rPr>
            </w:pPr>
          </w:p>
        </w:tc>
        <w:tc>
          <w:tcPr>
            <w:tcW w:w="5422" w:type="dxa"/>
            <w:tcBorders>
              <w:top w:val="nil"/>
              <w:left w:val="nil"/>
              <w:bottom w:val="nil"/>
              <w:right w:val="nil"/>
            </w:tcBorders>
            <w:shd w:val="clear" w:color="auto" w:fill="auto"/>
            <w:noWrap/>
            <w:vAlign w:val="center"/>
            <w:hideMark/>
          </w:tcPr>
          <w:p w14:paraId="51347BC9" w14:textId="77777777" w:rsidR="00B016A1" w:rsidRPr="00B016A1" w:rsidRDefault="00B016A1" w:rsidP="00B016A1">
            <w:pPr>
              <w:spacing w:line="240" w:lineRule="auto"/>
              <w:jc w:val="left"/>
              <w:rPr>
                <w:rFonts w:ascii="Times New Roman" w:hAnsi="Times New Roman"/>
                <w:b/>
                <w:bCs/>
                <w:color w:val="000000"/>
                <w:sz w:val="22"/>
                <w:szCs w:val="22"/>
              </w:rPr>
            </w:pPr>
          </w:p>
        </w:tc>
        <w:tc>
          <w:tcPr>
            <w:tcW w:w="1701" w:type="dxa"/>
            <w:tcBorders>
              <w:top w:val="nil"/>
              <w:left w:val="nil"/>
              <w:bottom w:val="nil"/>
              <w:right w:val="nil"/>
            </w:tcBorders>
            <w:shd w:val="clear" w:color="auto" w:fill="auto"/>
            <w:noWrap/>
            <w:vAlign w:val="center"/>
            <w:hideMark/>
          </w:tcPr>
          <w:p w14:paraId="51347BCA" w14:textId="77777777" w:rsidR="00B016A1" w:rsidRPr="00B016A1" w:rsidRDefault="00B016A1" w:rsidP="00B016A1">
            <w:pPr>
              <w:spacing w:line="240" w:lineRule="auto"/>
              <w:jc w:val="left"/>
              <w:rPr>
                <w:rFonts w:ascii="Times New Roman" w:hAnsi="Times New Roman"/>
                <w:b/>
                <w:bCs/>
                <w:color w:val="000000"/>
                <w:sz w:val="22"/>
                <w:szCs w:val="22"/>
              </w:rPr>
            </w:pPr>
          </w:p>
        </w:tc>
      </w:tr>
      <w:tr w:rsidR="00B016A1" w:rsidRPr="00B016A1" w14:paraId="51347BCF" w14:textId="77777777" w:rsidTr="00B016A1">
        <w:trPr>
          <w:trHeight w:val="600"/>
        </w:trPr>
        <w:tc>
          <w:tcPr>
            <w:tcW w:w="1008" w:type="dxa"/>
            <w:tcBorders>
              <w:top w:val="nil"/>
              <w:left w:val="nil"/>
              <w:bottom w:val="nil"/>
              <w:right w:val="nil"/>
            </w:tcBorders>
            <w:shd w:val="clear" w:color="auto" w:fill="auto"/>
            <w:noWrap/>
            <w:vAlign w:val="center"/>
            <w:hideMark/>
          </w:tcPr>
          <w:p w14:paraId="51347BCC" w14:textId="77777777" w:rsidR="00B016A1" w:rsidRPr="00B016A1" w:rsidRDefault="00B016A1" w:rsidP="00B016A1">
            <w:pPr>
              <w:spacing w:line="240" w:lineRule="auto"/>
              <w:jc w:val="center"/>
              <w:rPr>
                <w:rFonts w:ascii="Times New Roman" w:hAnsi="Times New Roman"/>
                <w:b/>
                <w:bCs/>
                <w:color w:val="000000"/>
                <w:sz w:val="26"/>
                <w:szCs w:val="26"/>
              </w:rPr>
            </w:pPr>
            <w:r w:rsidRPr="00B016A1">
              <w:rPr>
                <w:rFonts w:ascii="Times New Roman" w:hAnsi="Times New Roman"/>
                <w:b/>
                <w:bCs/>
                <w:color w:val="000000"/>
                <w:sz w:val="26"/>
                <w:szCs w:val="26"/>
              </w:rPr>
              <w:t>BLOK</w:t>
            </w:r>
          </w:p>
        </w:tc>
        <w:tc>
          <w:tcPr>
            <w:tcW w:w="6662" w:type="dxa"/>
            <w:gridSpan w:val="2"/>
            <w:tcBorders>
              <w:top w:val="nil"/>
              <w:left w:val="nil"/>
              <w:bottom w:val="nil"/>
              <w:right w:val="nil"/>
            </w:tcBorders>
            <w:shd w:val="clear" w:color="auto" w:fill="auto"/>
            <w:vAlign w:val="center"/>
            <w:hideMark/>
          </w:tcPr>
          <w:p w14:paraId="51347BCD" w14:textId="77777777" w:rsidR="00B016A1" w:rsidRPr="00B016A1" w:rsidRDefault="00B016A1" w:rsidP="00B016A1">
            <w:pPr>
              <w:spacing w:line="240" w:lineRule="auto"/>
              <w:jc w:val="left"/>
              <w:rPr>
                <w:rFonts w:ascii="Times New Roman" w:hAnsi="Times New Roman"/>
                <w:b/>
                <w:bCs/>
                <w:color w:val="000000"/>
                <w:sz w:val="26"/>
                <w:szCs w:val="26"/>
              </w:rPr>
            </w:pPr>
            <w:r w:rsidRPr="00B016A1">
              <w:rPr>
                <w:rFonts w:ascii="Times New Roman" w:hAnsi="Times New Roman"/>
                <w:b/>
                <w:bCs/>
                <w:color w:val="000000"/>
                <w:sz w:val="26"/>
                <w:szCs w:val="26"/>
              </w:rPr>
              <w:t>Příspěvkové organizace zřízené Ministerstvem kultury</w:t>
            </w:r>
          </w:p>
        </w:tc>
        <w:tc>
          <w:tcPr>
            <w:tcW w:w="1701" w:type="dxa"/>
            <w:tcBorders>
              <w:top w:val="nil"/>
              <w:left w:val="nil"/>
              <w:bottom w:val="nil"/>
              <w:right w:val="nil"/>
            </w:tcBorders>
            <w:shd w:val="clear" w:color="auto" w:fill="auto"/>
            <w:noWrap/>
            <w:vAlign w:val="center"/>
            <w:hideMark/>
          </w:tcPr>
          <w:p w14:paraId="51347BCE" w14:textId="77777777" w:rsidR="00B016A1" w:rsidRPr="00B016A1" w:rsidRDefault="00B016A1" w:rsidP="00B016A1">
            <w:pPr>
              <w:spacing w:line="240" w:lineRule="auto"/>
              <w:jc w:val="right"/>
              <w:rPr>
                <w:rFonts w:ascii="Times New Roman" w:hAnsi="Times New Roman"/>
                <w:b/>
                <w:bCs/>
                <w:color w:val="000000"/>
                <w:sz w:val="26"/>
                <w:szCs w:val="26"/>
              </w:rPr>
            </w:pPr>
            <w:r w:rsidRPr="00B016A1">
              <w:rPr>
                <w:rFonts w:ascii="Times New Roman" w:hAnsi="Times New Roman"/>
                <w:b/>
                <w:bCs/>
                <w:color w:val="000000"/>
                <w:sz w:val="26"/>
                <w:szCs w:val="26"/>
              </w:rPr>
              <w:t>4 948 785 398</w:t>
            </w:r>
          </w:p>
        </w:tc>
      </w:tr>
      <w:tr w:rsidR="00B016A1" w:rsidRPr="00B016A1" w14:paraId="51347BD4" w14:textId="77777777" w:rsidTr="00B016A1">
        <w:trPr>
          <w:trHeight w:val="619"/>
        </w:trPr>
        <w:tc>
          <w:tcPr>
            <w:tcW w:w="1008" w:type="dxa"/>
            <w:tcBorders>
              <w:top w:val="nil"/>
              <w:left w:val="nil"/>
              <w:bottom w:val="nil"/>
              <w:right w:val="nil"/>
            </w:tcBorders>
            <w:shd w:val="clear" w:color="auto" w:fill="auto"/>
            <w:noWrap/>
            <w:vAlign w:val="bottom"/>
            <w:hideMark/>
          </w:tcPr>
          <w:p w14:paraId="51347BD0"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bottom"/>
            <w:hideMark/>
          </w:tcPr>
          <w:p w14:paraId="51347BD1"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504001</w:t>
            </w:r>
          </w:p>
        </w:tc>
        <w:tc>
          <w:tcPr>
            <w:tcW w:w="5422" w:type="dxa"/>
            <w:tcBorders>
              <w:top w:val="nil"/>
              <w:left w:val="nil"/>
              <w:bottom w:val="nil"/>
              <w:right w:val="nil"/>
            </w:tcBorders>
            <w:shd w:val="clear" w:color="auto" w:fill="auto"/>
            <w:noWrap/>
            <w:vAlign w:val="bottom"/>
            <w:hideMark/>
          </w:tcPr>
          <w:p w14:paraId="51347BD2"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Příspěvek na provoz příspěvkovým organizacím</w:t>
            </w:r>
          </w:p>
        </w:tc>
        <w:tc>
          <w:tcPr>
            <w:tcW w:w="1701" w:type="dxa"/>
            <w:tcBorders>
              <w:top w:val="nil"/>
              <w:left w:val="nil"/>
              <w:bottom w:val="nil"/>
              <w:right w:val="nil"/>
            </w:tcBorders>
            <w:shd w:val="clear" w:color="auto" w:fill="auto"/>
            <w:noWrap/>
            <w:vAlign w:val="bottom"/>
            <w:hideMark/>
          </w:tcPr>
          <w:p w14:paraId="51347BD3"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3 476 468 398</w:t>
            </w:r>
          </w:p>
        </w:tc>
      </w:tr>
      <w:tr w:rsidR="00B016A1" w:rsidRPr="00B016A1" w14:paraId="51347BD9" w14:textId="77777777" w:rsidTr="00B016A1">
        <w:trPr>
          <w:trHeight w:val="360"/>
        </w:trPr>
        <w:tc>
          <w:tcPr>
            <w:tcW w:w="1008" w:type="dxa"/>
            <w:tcBorders>
              <w:top w:val="nil"/>
              <w:left w:val="nil"/>
              <w:bottom w:val="nil"/>
              <w:right w:val="nil"/>
            </w:tcBorders>
            <w:shd w:val="clear" w:color="auto" w:fill="auto"/>
            <w:noWrap/>
            <w:vAlign w:val="center"/>
            <w:hideMark/>
          </w:tcPr>
          <w:p w14:paraId="51347BD5"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 xml:space="preserve">v tom: </w:t>
            </w:r>
          </w:p>
        </w:tc>
        <w:tc>
          <w:tcPr>
            <w:tcW w:w="1240" w:type="dxa"/>
            <w:tcBorders>
              <w:top w:val="nil"/>
              <w:left w:val="nil"/>
              <w:bottom w:val="nil"/>
              <w:right w:val="nil"/>
            </w:tcBorders>
            <w:shd w:val="clear" w:color="auto" w:fill="auto"/>
            <w:noWrap/>
            <w:vAlign w:val="center"/>
            <w:hideMark/>
          </w:tcPr>
          <w:p w14:paraId="51347BD6"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1100000</w:t>
            </w:r>
          </w:p>
        </w:tc>
        <w:tc>
          <w:tcPr>
            <w:tcW w:w="5422" w:type="dxa"/>
            <w:tcBorders>
              <w:top w:val="nil"/>
              <w:left w:val="nil"/>
              <w:bottom w:val="nil"/>
              <w:right w:val="nil"/>
            </w:tcBorders>
            <w:shd w:val="clear" w:color="auto" w:fill="auto"/>
            <w:noWrap/>
            <w:vAlign w:val="center"/>
            <w:hideMark/>
          </w:tcPr>
          <w:p w14:paraId="51347BD7"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zdroj SR - základní</w:t>
            </w:r>
          </w:p>
        </w:tc>
        <w:tc>
          <w:tcPr>
            <w:tcW w:w="1701" w:type="dxa"/>
            <w:tcBorders>
              <w:top w:val="nil"/>
              <w:left w:val="nil"/>
              <w:bottom w:val="nil"/>
              <w:right w:val="nil"/>
            </w:tcBorders>
            <w:shd w:val="clear" w:color="auto" w:fill="auto"/>
            <w:noWrap/>
            <w:vAlign w:val="center"/>
            <w:hideMark/>
          </w:tcPr>
          <w:p w14:paraId="51347BD8"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3 476 468 398</w:t>
            </w:r>
          </w:p>
        </w:tc>
      </w:tr>
      <w:tr w:rsidR="00B016A1" w:rsidRPr="00B016A1" w14:paraId="51347BDE"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BDA"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Paragraf</w:t>
            </w:r>
          </w:p>
        </w:tc>
        <w:tc>
          <w:tcPr>
            <w:tcW w:w="1240" w:type="dxa"/>
            <w:tcBorders>
              <w:top w:val="single" w:sz="4" w:space="0" w:color="auto"/>
              <w:left w:val="nil"/>
              <w:bottom w:val="nil"/>
              <w:right w:val="dashed" w:sz="4" w:space="0" w:color="auto"/>
            </w:tcBorders>
            <w:shd w:val="clear" w:color="auto" w:fill="auto"/>
            <w:vAlign w:val="center"/>
            <w:hideMark/>
          </w:tcPr>
          <w:p w14:paraId="51347BDB"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BDC"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BDD"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BE3"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BDF"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331100</w:t>
            </w:r>
          </w:p>
        </w:tc>
        <w:tc>
          <w:tcPr>
            <w:tcW w:w="1240" w:type="dxa"/>
            <w:tcBorders>
              <w:top w:val="dashed" w:sz="4" w:space="0" w:color="auto"/>
              <w:left w:val="nil"/>
              <w:bottom w:val="dashed" w:sz="4" w:space="0" w:color="auto"/>
              <w:right w:val="dashed" w:sz="4" w:space="0" w:color="auto"/>
            </w:tcBorders>
            <w:shd w:val="clear" w:color="auto" w:fill="auto"/>
            <w:noWrap/>
            <w:vAlign w:val="center"/>
            <w:hideMark/>
          </w:tcPr>
          <w:p w14:paraId="51347BE0"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dashed" w:sz="4" w:space="0" w:color="auto"/>
              <w:left w:val="nil"/>
              <w:bottom w:val="dashed" w:sz="4" w:space="0" w:color="auto"/>
              <w:right w:val="dashed" w:sz="4" w:space="0" w:color="auto"/>
            </w:tcBorders>
            <w:shd w:val="clear" w:color="auto" w:fill="auto"/>
            <w:noWrap/>
            <w:vAlign w:val="center"/>
            <w:hideMark/>
          </w:tcPr>
          <w:p w14:paraId="51347BE1"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BE2"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675 950 754</w:t>
            </w:r>
          </w:p>
        </w:tc>
      </w:tr>
      <w:tr w:rsidR="00B016A1" w:rsidRPr="00B016A1" w14:paraId="51347BE7"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BE4"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331100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BE5"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Divadelní činnost</w:t>
            </w:r>
          </w:p>
        </w:tc>
        <w:tc>
          <w:tcPr>
            <w:tcW w:w="1701" w:type="dxa"/>
            <w:tcBorders>
              <w:top w:val="nil"/>
              <w:left w:val="nil"/>
              <w:bottom w:val="nil"/>
              <w:right w:val="single" w:sz="4" w:space="0" w:color="auto"/>
            </w:tcBorders>
            <w:shd w:val="clear" w:color="auto" w:fill="auto"/>
            <w:noWrap/>
            <w:vAlign w:val="center"/>
            <w:hideMark/>
          </w:tcPr>
          <w:p w14:paraId="51347BE6"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675 950 754</w:t>
            </w:r>
          </w:p>
        </w:tc>
      </w:tr>
      <w:tr w:rsidR="00B016A1" w:rsidRPr="00B016A1" w14:paraId="51347BEC"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BE8"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331200</w:t>
            </w:r>
          </w:p>
        </w:tc>
        <w:tc>
          <w:tcPr>
            <w:tcW w:w="1240" w:type="dxa"/>
            <w:tcBorders>
              <w:top w:val="nil"/>
              <w:left w:val="nil"/>
              <w:bottom w:val="dashed" w:sz="4" w:space="0" w:color="auto"/>
              <w:right w:val="dashed" w:sz="4" w:space="0" w:color="auto"/>
            </w:tcBorders>
            <w:shd w:val="clear" w:color="auto" w:fill="auto"/>
            <w:noWrap/>
            <w:vAlign w:val="center"/>
            <w:hideMark/>
          </w:tcPr>
          <w:p w14:paraId="51347BE9"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dashed" w:sz="4" w:space="0" w:color="auto"/>
              <w:right w:val="dashed" w:sz="4" w:space="0" w:color="auto"/>
            </w:tcBorders>
            <w:shd w:val="clear" w:color="auto" w:fill="auto"/>
            <w:noWrap/>
            <w:vAlign w:val="center"/>
            <w:hideMark/>
          </w:tcPr>
          <w:p w14:paraId="51347BEA"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BEB"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188 971 000</w:t>
            </w:r>
          </w:p>
        </w:tc>
      </w:tr>
      <w:tr w:rsidR="00B016A1" w:rsidRPr="00B016A1" w14:paraId="51347BF0"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BED"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331200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BEE"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Hudební činnost</w:t>
            </w:r>
          </w:p>
        </w:tc>
        <w:tc>
          <w:tcPr>
            <w:tcW w:w="1701" w:type="dxa"/>
            <w:tcBorders>
              <w:top w:val="nil"/>
              <w:left w:val="nil"/>
              <w:bottom w:val="nil"/>
              <w:right w:val="single" w:sz="4" w:space="0" w:color="auto"/>
            </w:tcBorders>
            <w:shd w:val="clear" w:color="auto" w:fill="auto"/>
            <w:noWrap/>
            <w:vAlign w:val="center"/>
            <w:hideMark/>
          </w:tcPr>
          <w:p w14:paraId="51347BEF"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188 971 000</w:t>
            </w:r>
          </w:p>
        </w:tc>
      </w:tr>
      <w:tr w:rsidR="00B016A1" w:rsidRPr="00B016A1" w14:paraId="51347BF5"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BF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331300</w:t>
            </w:r>
          </w:p>
        </w:tc>
        <w:tc>
          <w:tcPr>
            <w:tcW w:w="1240" w:type="dxa"/>
            <w:tcBorders>
              <w:top w:val="nil"/>
              <w:left w:val="nil"/>
              <w:bottom w:val="dashed" w:sz="4" w:space="0" w:color="auto"/>
              <w:right w:val="dashed" w:sz="4" w:space="0" w:color="auto"/>
            </w:tcBorders>
            <w:shd w:val="clear" w:color="auto" w:fill="auto"/>
            <w:noWrap/>
            <w:vAlign w:val="center"/>
            <w:hideMark/>
          </w:tcPr>
          <w:p w14:paraId="51347BF2"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dashed" w:sz="4" w:space="0" w:color="auto"/>
              <w:right w:val="dashed" w:sz="4" w:space="0" w:color="auto"/>
            </w:tcBorders>
            <w:shd w:val="clear" w:color="auto" w:fill="auto"/>
            <w:noWrap/>
            <w:vAlign w:val="center"/>
            <w:hideMark/>
          </w:tcPr>
          <w:p w14:paraId="51347BF3"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BF4"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47 100 000</w:t>
            </w:r>
          </w:p>
        </w:tc>
      </w:tr>
      <w:tr w:rsidR="00B016A1" w:rsidRPr="00B016A1" w14:paraId="51347BF9" w14:textId="77777777" w:rsidTr="000D3104">
        <w:trPr>
          <w:trHeight w:val="559"/>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BF6"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331300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BF7"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Filmová tvorba, distribuce, kina a shromažďování audiovizuálních archiválií</w:t>
            </w:r>
          </w:p>
        </w:tc>
        <w:tc>
          <w:tcPr>
            <w:tcW w:w="1701" w:type="dxa"/>
            <w:tcBorders>
              <w:top w:val="nil"/>
              <w:left w:val="nil"/>
              <w:bottom w:val="dashed" w:sz="4" w:space="0" w:color="auto"/>
              <w:right w:val="single" w:sz="4" w:space="0" w:color="auto"/>
            </w:tcBorders>
            <w:shd w:val="clear" w:color="auto" w:fill="auto"/>
            <w:noWrap/>
            <w:vAlign w:val="center"/>
            <w:hideMark/>
          </w:tcPr>
          <w:p w14:paraId="51347BF8"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47 100 000</w:t>
            </w:r>
          </w:p>
        </w:tc>
      </w:tr>
      <w:tr w:rsidR="00B016A1" w:rsidRPr="00B016A1" w14:paraId="51347BFE" w14:textId="77777777" w:rsidTr="000D3104">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BFA"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lastRenderedPageBreak/>
              <w:t>331400</w:t>
            </w:r>
          </w:p>
        </w:tc>
        <w:tc>
          <w:tcPr>
            <w:tcW w:w="1240" w:type="dxa"/>
            <w:tcBorders>
              <w:top w:val="dashed" w:sz="4" w:space="0" w:color="auto"/>
              <w:left w:val="nil"/>
              <w:bottom w:val="dashed" w:sz="4" w:space="0" w:color="auto"/>
              <w:right w:val="dashed" w:sz="4" w:space="0" w:color="auto"/>
            </w:tcBorders>
            <w:shd w:val="clear" w:color="auto" w:fill="auto"/>
            <w:noWrap/>
            <w:vAlign w:val="center"/>
            <w:hideMark/>
          </w:tcPr>
          <w:p w14:paraId="51347BFB"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dashed" w:sz="4" w:space="0" w:color="auto"/>
              <w:left w:val="nil"/>
              <w:bottom w:val="dashed" w:sz="4" w:space="0" w:color="auto"/>
              <w:right w:val="dashed" w:sz="4" w:space="0" w:color="auto"/>
            </w:tcBorders>
            <w:shd w:val="clear" w:color="auto" w:fill="auto"/>
            <w:noWrap/>
            <w:vAlign w:val="center"/>
            <w:hideMark/>
          </w:tcPr>
          <w:p w14:paraId="51347BFC"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BFD"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446 491 000</w:t>
            </w:r>
          </w:p>
        </w:tc>
      </w:tr>
      <w:tr w:rsidR="00B016A1" w:rsidRPr="00B016A1" w14:paraId="51347C02"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BFF"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331400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C00"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Činnosti knihovnické</w:t>
            </w:r>
          </w:p>
        </w:tc>
        <w:tc>
          <w:tcPr>
            <w:tcW w:w="1701" w:type="dxa"/>
            <w:tcBorders>
              <w:top w:val="nil"/>
              <w:left w:val="nil"/>
              <w:bottom w:val="nil"/>
              <w:right w:val="single" w:sz="4" w:space="0" w:color="auto"/>
            </w:tcBorders>
            <w:shd w:val="clear" w:color="auto" w:fill="auto"/>
            <w:noWrap/>
            <w:vAlign w:val="center"/>
            <w:hideMark/>
          </w:tcPr>
          <w:p w14:paraId="51347C01"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446 491 000</w:t>
            </w:r>
          </w:p>
        </w:tc>
      </w:tr>
      <w:tr w:rsidR="00B016A1" w:rsidRPr="00B016A1" w14:paraId="51347C07"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C03"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331500</w:t>
            </w:r>
          </w:p>
        </w:tc>
        <w:tc>
          <w:tcPr>
            <w:tcW w:w="1240" w:type="dxa"/>
            <w:tcBorders>
              <w:top w:val="nil"/>
              <w:left w:val="nil"/>
              <w:bottom w:val="dashed" w:sz="4" w:space="0" w:color="auto"/>
              <w:right w:val="dashed" w:sz="4" w:space="0" w:color="auto"/>
            </w:tcBorders>
            <w:shd w:val="clear" w:color="auto" w:fill="auto"/>
            <w:noWrap/>
            <w:vAlign w:val="center"/>
            <w:hideMark/>
          </w:tcPr>
          <w:p w14:paraId="51347C04"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dashed" w:sz="4" w:space="0" w:color="auto"/>
              <w:right w:val="dashed" w:sz="4" w:space="0" w:color="auto"/>
            </w:tcBorders>
            <w:shd w:val="clear" w:color="auto" w:fill="auto"/>
            <w:noWrap/>
            <w:vAlign w:val="center"/>
            <w:hideMark/>
          </w:tcPr>
          <w:p w14:paraId="51347C05"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C06"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1 285 846 632</w:t>
            </w:r>
          </w:p>
        </w:tc>
      </w:tr>
      <w:tr w:rsidR="00B016A1" w:rsidRPr="00B016A1" w14:paraId="51347C0B"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C08"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331500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C09"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Činnosti muzeí a galerií</w:t>
            </w:r>
          </w:p>
        </w:tc>
        <w:tc>
          <w:tcPr>
            <w:tcW w:w="1701" w:type="dxa"/>
            <w:tcBorders>
              <w:top w:val="nil"/>
              <w:left w:val="nil"/>
              <w:bottom w:val="nil"/>
              <w:right w:val="single" w:sz="4" w:space="0" w:color="auto"/>
            </w:tcBorders>
            <w:shd w:val="clear" w:color="auto" w:fill="auto"/>
            <w:noWrap/>
            <w:vAlign w:val="center"/>
            <w:hideMark/>
          </w:tcPr>
          <w:p w14:paraId="51347C0A"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1 285 846 632</w:t>
            </w:r>
          </w:p>
        </w:tc>
      </w:tr>
      <w:tr w:rsidR="00B016A1" w:rsidRPr="00B016A1" w14:paraId="51347C10"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C0C"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331900</w:t>
            </w:r>
          </w:p>
        </w:tc>
        <w:tc>
          <w:tcPr>
            <w:tcW w:w="1240" w:type="dxa"/>
            <w:tcBorders>
              <w:top w:val="nil"/>
              <w:left w:val="nil"/>
              <w:bottom w:val="dashed" w:sz="4" w:space="0" w:color="auto"/>
              <w:right w:val="dashed" w:sz="4" w:space="0" w:color="auto"/>
            </w:tcBorders>
            <w:shd w:val="clear" w:color="auto" w:fill="auto"/>
            <w:noWrap/>
            <w:vAlign w:val="center"/>
            <w:hideMark/>
          </w:tcPr>
          <w:p w14:paraId="51347C0D"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dashed" w:sz="4" w:space="0" w:color="auto"/>
              <w:right w:val="dashed" w:sz="4" w:space="0" w:color="auto"/>
            </w:tcBorders>
            <w:shd w:val="clear" w:color="auto" w:fill="auto"/>
            <w:noWrap/>
            <w:vAlign w:val="center"/>
            <w:hideMark/>
          </w:tcPr>
          <w:p w14:paraId="51347C0E"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C0F"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79 622 000</w:t>
            </w:r>
          </w:p>
        </w:tc>
      </w:tr>
      <w:tr w:rsidR="00B016A1" w:rsidRPr="00B016A1" w14:paraId="51347C14"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C11"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331900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C12"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Ostatní záležitosti kultury</w:t>
            </w:r>
          </w:p>
        </w:tc>
        <w:tc>
          <w:tcPr>
            <w:tcW w:w="1701" w:type="dxa"/>
            <w:tcBorders>
              <w:top w:val="nil"/>
              <w:left w:val="nil"/>
              <w:bottom w:val="nil"/>
              <w:right w:val="single" w:sz="4" w:space="0" w:color="auto"/>
            </w:tcBorders>
            <w:shd w:val="clear" w:color="auto" w:fill="auto"/>
            <w:noWrap/>
            <w:vAlign w:val="center"/>
            <w:hideMark/>
          </w:tcPr>
          <w:p w14:paraId="51347C13"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79 622 000</w:t>
            </w:r>
          </w:p>
        </w:tc>
      </w:tr>
      <w:tr w:rsidR="00B016A1" w:rsidRPr="00B016A1" w14:paraId="51347C19"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C15"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332100</w:t>
            </w:r>
          </w:p>
        </w:tc>
        <w:tc>
          <w:tcPr>
            <w:tcW w:w="1240" w:type="dxa"/>
            <w:tcBorders>
              <w:top w:val="nil"/>
              <w:left w:val="nil"/>
              <w:bottom w:val="dashed" w:sz="4" w:space="0" w:color="auto"/>
              <w:right w:val="dashed" w:sz="4" w:space="0" w:color="auto"/>
            </w:tcBorders>
            <w:shd w:val="clear" w:color="auto" w:fill="auto"/>
            <w:noWrap/>
            <w:vAlign w:val="center"/>
            <w:hideMark/>
          </w:tcPr>
          <w:p w14:paraId="51347C16"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dashed" w:sz="4" w:space="0" w:color="auto"/>
              <w:right w:val="dashed" w:sz="4" w:space="0" w:color="auto"/>
            </w:tcBorders>
            <w:shd w:val="clear" w:color="auto" w:fill="auto"/>
            <w:noWrap/>
            <w:vAlign w:val="center"/>
            <w:hideMark/>
          </w:tcPr>
          <w:p w14:paraId="51347C17"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C18"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752 487 012</w:t>
            </w:r>
          </w:p>
        </w:tc>
      </w:tr>
      <w:tr w:rsidR="00B016A1" w:rsidRPr="00B016A1" w14:paraId="51347C1D" w14:textId="77777777" w:rsidTr="00B016A1">
        <w:trPr>
          <w:trHeight w:val="360"/>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C1A"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332100</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C1B"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Činnosti památkových ústavů, hradů a zámků</w:t>
            </w:r>
          </w:p>
        </w:tc>
        <w:tc>
          <w:tcPr>
            <w:tcW w:w="1701" w:type="dxa"/>
            <w:tcBorders>
              <w:top w:val="nil"/>
              <w:left w:val="nil"/>
              <w:bottom w:val="single" w:sz="4" w:space="0" w:color="auto"/>
              <w:right w:val="single" w:sz="4" w:space="0" w:color="auto"/>
            </w:tcBorders>
            <w:shd w:val="clear" w:color="auto" w:fill="auto"/>
            <w:noWrap/>
            <w:vAlign w:val="center"/>
            <w:hideMark/>
          </w:tcPr>
          <w:p w14:paraId="51347C1C"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752 487 012</w:t>
            </w:r>
          </w:p>
        </w:tc>
      </w:tr>
      <w:tr w:rsidR="00B016A1" w:rsidRPr="00B016A1" w14:paraId="51347C22" w14:textId="77777777" w:rsidTr="0085383F">
        <w:trPr>
          <w:trHeight w:val="559"/>
        </w:trPr>
        <w:tc>
          <w:tcPr>
            <w:tcW w:w="1008" w:type="dxa"/>
            <w:tcBorders>
              <w:top w:val="nil"/>
              <w:left w:val="nil"/>
              <w:bottom w:val="nil"/>
              <w:right w:val="nil"/>
            </w:tcBorders>
            <w:shd w:val="clear" w:color="auto" w:fill="auto"/>
            <w:noWrap/>
            <w:vAlign w:val="bottom"/>
            <w:hideMark/>
          </w:tcPr>
          <w:p w14:paraId="51347C1E"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bottom"/>
            <w:hideMark/>
          </w:tcPr>
          <w:p w14:paraId="51347C1F"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504002</w:t>
            </w:r>
          </w:p>
        </w:tc>
        <w:tc>
          <w:tcPr>
            <w:tcW w:w="5422" w:type="dxa"/>
            <w:tcBorders>
              <w:top w:val="nil"/>
              <w:left w:val="nil"/>
              <w:bottom w:val="nil"/>
              <w:right w:val="nil"/>
            </w:tcBorders>
            <w:shd w:val="clear" w:color="auto" w:fill="auto"/>
            <w:noWrap/>
            <w:vAlign w:val="bottom"/>
            <w:hideMark/>
          </w:tcPr>
          <w:p w14:paraId="51347C20"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Program péče o národní kulturní poklad</w:t>
            </w:r>
          </w:p>
        </w:tc>
        <w:tc>
          <w:tcPr>
            <w:tcW w:w="1701" w:type="dxa"/>
            <w:tcBorders>
              <w:top w:val="nil"/>
              <w:left w:val="nil"/>
              <w:bottom w:val="nil"/>
              <w:right w:val="nil"/>
            </w:tcBorders>
            <w:shd w:val="clear" w:color="auto" w:fill="auto"/>
            <w:noWrap/>
            <w:vAlign w:val="bottom"/>
            <w:hideMark/>
          </w:tcPr>
          <w:p w14:paraId="51347C21"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1 000 000 000</w:t>
            </w:r>
          </w:p>
        </w:tc>
      </w:tr>
      <w:tr w:rsidR="00B016A1" w:rsidRPr="00B016A1" w14:paraId="51347C27" w14:textId="77777777" w:rsidTr="00B016A1">
        <w:trPr>
          <w:trHeight w:val="360"/>
        </w:trPr>
        <w:tc>
          <w:tcPr>
            <w:tcW w:w="1008" w:type="dxa"/>
            <w:tcBorders>
              <w:top w:val="nil"/>
              <w:left w:val="nil"/>
              <w:bottom w:val="nil"/>
              <w:right w:val="nil"/>
            </w:tcBorders>
            <w:shd w:val="clear" w:color="auto" w:fill="auto"/>
            <w:noWrap/>
            <w:vAlign w:val="center"/>
            <w:hideMark/>
          </w:tcPr>
          <w:p w14:paraId="51347C23"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 xml:space="preserve">v tom: </w:t>
            </w:r>
          </w:p>
        </w:tc>
        <w:tc>
          <w:tcPr>
            <w:tcW w:w="1240" w:type="dxa"/>
            <w:tcBorders>
              <w:top w:val="nil"/>
              <w:left w:val="nil"/>
              <w:bottom w:val="nil"/>
              <w:right w:val="nil"/>
            </w:tcBorders>
            <w:shd w:val="clear" w:color="auto" w:fill="auto"/>
            <w:noWrap/>
            <w:vAlign w:val="center"/>
            <w:hideMark/>
          </w:tcPr>
          <w:p w14:paraId="51347C24"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1100000</w:t>
            </w:r>
          </w:p>
        </w:tc>
        <w:tc>
          <w:tcPr>
            <w:tcW w:w="5422" w:type="dxa"/>
            <w:tcBorders>
              <w:top w:val="nil"/>
              <w:left w:val="nil"/>
              <w:bottom w:val="nil"/>
              <w:right w:val="nil"/>
            </w:tcBorders>
            <w:shd w:val="clear" w:color="auto" w:fill="auto"/>
            <w:noWrap/>
            <w:vAlign w:val="center"/>
            <w:hideMark/>
          </w:tcPr>
          <w:p w14:paraId="51347C25"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zdroj SR - základní</w:t>
            </w:r>
          </w:p>
        </w:tc>
        <w:tc>
          <w:tcPr>
            <w:tcW w:w="1701" w:type="dxa"/>
            <w:tcBorders>
              <w:top w:val="nil"/>
              <w:left w:val="nil"/>
              <w:bottom w:val="nil"/>
              <w:right w:val="nil"/>
            </w:tcBorders>
            <w:shd w:val="clear" w:color="auto" w:fill="auto"/>
            <w:noWrap/>
            <w:vAlign w:val="center"/>
            <w:hideMark/>
          </w:tcPr>
          <w:p w14:paraId="51347C26"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1 000 000 000</w:t>
            </w:r>
          </w:p>
        </w:tc>
      </w:tr>
      <w:tr w:rsidR="00B016A1" w:rsidRPr="00B016A1" w14:paraId="51347C2C"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C28"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Paragraf</w:t>
            </w:r>
          </w:p>
        </w:tc>
        <w:tc>
          <w:tcPr>
            <w:tcW w:w="1240" w:type="dxa"/>
            <w:tcBorders>
              <w:top w:val="single" w:sz="4" w:space="0" w:color="auto"/>
              <w:left w:val="nil"/>
              <w:bottom w:val="nil"/>
              <w:right w:val="dashed" w:sz="4" w:space="0" w:color="auto"/>
            </w:tcBorders>
            <w:shd w:val="clear" w:color="auto" w:fill="auto"/>
            <w:vAlign w:val="center"/>
            <w:hideMark/>
          </w:tcPr>
          <w:p w14:paraId="51347C29"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C2A"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C2B"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C31"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C2D"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331100</w:t>
            </w:r>
          </w:p>
        </w:tc>
        <w:tc>
          <w:tcPr>
            <w:tcW w:w="1240" w:type="dxa"/>
            <w:tcBorders>
              <w:top w:val="dashed" w:sz="4" w:space="0" w:color="auto"/>
              <w:left w:val="nil"/>
              <w:bottom w:val="nil"/>
              <w:right w:val="dashed" w:sz="4" w:space="0" w:color="auto"/>
            </w:tcBorders>
            <w:shd w:val="clear" w:color="auto" w:fill="auto"/>
            <w:noWrap/>
            <w:vAlign w:val="center"/>
            <w:hideMark/>
          </w:tcPr>
          <w:p w14:paraId="51347C2E"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dashed" w:sz="4" w:space="0" w:color="auto"/>
              <w:left w:val="nil"/>
              <w:bottom w:val="nil"/>
              <w:right w:val="dashed" w:sz="4" w:space="0" w:color="auto"/>
            </w:tcBorders>
            <w:shd w:val="clear" w:color="auto" w:fill="auto"/>
            <w:noWrap/>
            <w:vAlign w:val="center"/>
            <w:hideMark/>
          </w:tcPr>
          <w:p w14:paraId="51347C2F"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dashed" w:sz="4" w:space="0" w:color="auto"/>
              <w:left w:val="nil"/>
              <w:bottom w:val="nil"/>
              <w:right w:val="single" w:sz="4" w:space="0" w:color="auto"/>
            </w:tcBorders>
            <w:shd w:val="clear" w:color="auto" w:fill="auto"/>
            <w:noWrap/>
            <w:vAlign w:val="center"/>
            <w:hideMark/>
          </w:tcPr>
          <w:p w14:paraId="51347C30"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51 521 000</w:t>
            </w:r>
          </w:p>
        </w:tc>
      </w:tr>
      <w:tr w:rsidR="00B016A1" w:rsidRPr="00B016A1" w14:paraId="51347C36"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C32"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331100</w:t>
            </w:r>
          </w:p>
        </w:tc>
        <w:tc>
          <w:tcPr>
            <w:tcW w:w="1240" w:type="dxa"/>
            <w:tcBorders>
              <w:top w:val="nil"/>
              <w:left w:val="nil"/>
              <w:bottom w:val="dashed" w:sz="4" w:space="0" w:color="auto"/>
              <w:right w:val="dashed" w:sz="4" w:space="0" w:color="auto"/>
            </w:tcBorders>
            <w:shd w:val="clear" w:color="auto" w:fill="auto"/>
            <w:noWrap/>
            <w:vAlign w:val="center"/>
            <w:hideMark/>
          </w:tcPr>
          <w:p w14:paraId="51347C33"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635</w:t>
            </w:r>
          </w:p>
        </w:tc>
        <w:tc>
          <w:tcPr>
            <w:tcW w:w="5422" w:type="dxa"/>
            <w:tcBorders>
              <w:top w:val="nil"/>
              <w:left w:val="nil"/>
              <w:bottom w:val="dashed" w:sz="4" w:space="0" w:color="auto"/>
              <w:right w:val="dashed" w:sz="4" w:space="0" w:color="auto"/>
            </w:tcBorders>
            <w:shd w:val="clear" w:color="auto" w:fill="auto"/>
            <w:noWrap/>
            <w:vAlign w:val="center"/>
            <w:hideMark/>
          </w:tcPr>
          <w:p w14:paraId="51347C34"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Investiční transfery příspěvkovým a podobným organizacím</w:t>
            </w:r>
          </w:p>
        </w:tc>
        <w:tc>
          <w:tcPr>
            <w:tcW w:w="1701" w:type="dxa"/>
            <w:tcBorders>
              <w:top w:val="nil"/>
              <w:left w:val="nil"/>
              <w:bottom w:val="dashed" w:sz="4" w:space="0" w:color="auto"/>
              <w:right w:val="single" w:sz="4" w:space="0" w:color="auto"/>
            </w:tcBorders>
            <w:shd w:val="clear" w:color="auto" w:fill="auto"/>
            <w:noWrap/>
            <w:vAlign w:val="center"/>
            <w:hideMark/>
          </w:tcPr>
          <w:p w14:paraId="51347C35"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161 186 000</w:t>
            </w:r>
          </w:p>
        </w:tc>
      </w:tr>
      <w:tr w:rsidR="00B016A1" w:rsidRPr="00B016A1" w14:paraId="51347C3A"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C37"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331100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C38"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Divadelní činnost</w:t>
            </w:r>
          </w:p>
        </w:tc>
        <w:tc>
          <w:tcPr>
            <w:tcW w:w="1701" w:type="dxa"/>
            <w:tcBorders>
              <w:top w:val="nil"/>
              <w:left w:val="nil"/>
              <w:bottom w:val="nil"/>
              <w:right w:val="single" w:sz="4" w:space="0" w:color="auto"/>
            </w:tcBorders>
            <w:shd w:val="clear" w:color="auto" w:fill="auto"/>
            <w:noWrap/>
            <w:vAlign w:val="center"/>
            <w:hideMark/>
          </w:tcPr>
          <w:p w14:paraId="51347C39"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212 707 000</w:t>
            </w:r>
          </w:p>
        </w:tc>
      </w:tr>
      <w:tr w:rsidR="00B016A1" w:rsidRPr="00B016A1" w14:paraId="51347C3F"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C3B"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331300</w:t>
            </w:r>
          </w:p>
        </w:tc>
        <w:tc>
          <w:tcPr>
            <w:tcW w:w="1240" w:type="dxa"/>
            <w:tcBorders>
              <w:top w:val="nil"/>
              <w:left w:val="nil"/>
              <w:bottom w:val="dashed" w:sz="4" w:space="0" w:color="auto"/>
              <w:right w:val="dashed" w:sz="4" w:space="0" w:color="auto"/>
            </w:tcBorders>
            <w:shd w:val="clear" w:color="auto" w:fill="auto"/>
            <w:noWrap/>
            <w:vAlign w:val="center"/>
            <w:hideMark/>
          </w:tcPr>
          <w:p w14:paraId="51347C3C"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635</w:t>
            </w:r>
          </w:p>
        </w:tc>
        <w:tc>
          <w:tcPr>
            <w:tcW w:w="5422" w:type="dxa"/>
            <w:tcBorders>
              <w:top w:val="nil"/>
              <w:left w:val="nil"/>
              <w:bottom w:val="dashed" w:sz="4" w:space="0" w:color="auto"/>
              <w:right w:val="dashed" w:sz="4" w:space="0" w:color="auto"/>
            </w:tcBorders>
            <w:shd w:val="clear" w:color="auto" w:fill="auto"/>
            <w:noWrap/>
            <w:vAlign w:val="center"/>
            <w:hideMark/>
          </w:tcPr>
          <w:p w14:paraId="51347C3D"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Investiční transfery příspěvkovým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C3E"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19 671 009</w:t>
            </w:r>
          </w:p>
        </w:tc>
      </w:tr>
      <w:tr w:rsidR="00B016A1" w:rsidRPr="00B016A1" w14:paraId="51347C43" w14:textId="77777777" w:rsidTr="00B016A1">
        <w:trPr>
          <w:trHeight w:val="559"/>
        </w:trPr>
        <w:tc>
          <w:tcPr>
            <w:tcW w:w="1008" w:type="dxa"/>
            <w:tcBorders>
              <w:top w:val="nil"/>
              <w:left w:val="single" w:sz="4" w:space="0" w:color="auto"/>
              <w:bottom w:val="nil"/>
              <w:right w:val="dashed" w:sz="4" w:space="0" w:color="auto"/>
            </w:tcBorders>
            <w:shd w:val="clear" w:color="auto" w:fill="auto"/>
            <w:noWrap/>
            <w:vAlign w:val="center"/>
            <w:hideMark/>
          </w:tcPr>
          <w:p w14:paraId="51347C40"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331300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C41"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Filmová tvorba, distribuce, kina a shromažďování audiovizuálních archiválií</w:t>
            </w:r>
          </w:p>
        </w:tc>
        <w:tc>
          <w:tcPr>
            <w:tcW w:w="1701" w:type="dxa"/>
            <w:tcBorders>
              <w:top w:val="nil"/>
              <w:left w:val="nil"/>
              <w:bottom w:val="nil"/>
              <w:right w:val="single" w:sz="4" w:space="0" w:color="auto"/>
            </w:tcBorders>
            <w:shd w:val="clear" w:color="auto" w:fill="auto"/>
            <w:noWrap/>
            <w:vAlign w:val="center"/>
            <w:hideMark/>
          </w:tcPr>
          <w:p w14:paraId="51347C42"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19 671 009</w:t>
            </w:r>
          </w:p>
        </w:tc>
      </w:tr>
      <w:tr w:rsidR="00B016A1" w:rsidRPr="00B016A1" w14:paraId="51347C48"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C44"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331400</w:t>
            </w:r>
          </w:p>
        </w:tc>
        <w:tc>
          <w:tcPr>
            <w:tcW w:w="1240" w:type="dxa"/>
            <w:tcBorders>
              <w:top w:val="nil"/>
              <w:left w:val="nil"/>
              <w:bottom w:val="nil"/>
              <w:right w:val="dashed" w:sz="4" w:space="0" w:color="auto"/>
            </w:tcBorders>
            <w:shd w:val="clear" w:color="auto" w:fill="auto"/>
            <w:noWrap/>
            <w:vAlign w:val="center"/>
            <w:hideMark/>
          </w:tcPr>
          <w:p w14:paraId="51347C45"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nil"/>
              <w:right w:val="dashed" w:sz="4" w:space="0" w:color="auto"/>
            </w:tcBorders>
            <w:shd w:val="clear" w:color="auto" w:fill="auto"/>
            <w:noWrap/>
            <w:vAlign w:val="center"/>
            <w:hideMark/>
          </w:tcPr>
          <w:p w14:paraId="51347C46"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dashed" w:sz="4" w:space="0" w:color="auto"/>
              <w:left w:val="nil"/>
              <w:bottom w:val="nil"/>
              <w:right w:val="single" w:sz="4" w:space="0" w:color="auto"/>
            </w:tcBorders>
            <w:shd w:val="clear" w:color="auto" w:fill="auto"/>
            <w:noWrap/>
            <w:vAlign w:val="center"/>
            <w:hideMark/>
          </w:tcPr>
          <w:p w14:paraId="51347C47"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24 280 621</w:t>
            </w:r>
          </w:p>
        </w:tc>
      </w:tr>
      <w:tr w:rsidR="00B016A1" w:rsidRPr="00B016A1" w14:paraId="51347C4D"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C49"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331400</w:t>
            </w:r>
          </w:p>
        </w:tc>
        <w:tc>
          <w:tcPr>
            <w:tcW w:w="1240" w:type="dxa"/>
            <w:tcBorders>
              <w:top w:val="nil"/>
              <w:left w:val="nil"/>
              <w:bottom w:val="dashed" w:sz="4" w:space="0" w:color="auto"/>
              <w:right w:val="dashed" w:sz="4" w:space="0" w:color="auto"/>
            </w:tcBorders>
            <w:shd w:val="clear" w:color="auto" w:fill="auto"/>
            <w:noWrap/>
            <w:vAlign w:val="center"/>
            <w:hideMark/>
          </w:tcPr>
          <w:p w14:paraId="51347C4A"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635</w:t>
            </w:r>
          </w:p>
        </w:tc>
        <w:tc>
          <w:tcPr>
            <w:tcW w:w="5422" w:type="dxa"/>
            <w:tcBorders>
              <w:top w:val="nil"/>
              <w:left w:val="nil"/>
              <w:bottom w:val="dashed" w:sz="4" w:space="0" w:color="auto"/>
              <w:right w:val="dashed" w:sz="4" w:space="0" w:color="auto"/>
            </w:tcBorders>
            <w:shd w:val="clear" w:color="auto" w:fill="auto"/>
            <w:noWrap/>
            <w:vAlign w:val="center"/>
            <w:hideMark/>
          </w:tcPr>
          <w:p w14:paraId="51347C4B"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Investiční transfery příspěvkovým a podobným organizacím</w:t>
            </w:r>
          </w:p>
        </w:tc>
        <w:tc>
          <w:tcPr>
            <w:tcW w:w="1701" w:type="dxa"/>
            <w:tcBorders>
              <w:top w:val="nil"/>
              <w:left w:val="nil"/>
              <w:bottom w:val="dashed" w:sz="4" w:space="0" w:color="auto"/>
              <w:right w:val="single" w:sz="4" w:space="0" w:color="auto"/>
            </w:tcBorders>
            <w:shd w:val="clear" w:color="auto" w:fill="auto"/>
            <w:noWrap/>
            <w:vAlign w:val="center"/>
            <w:hideMark/>
          </w:tcPr>
          <w:p w14:paraId="51347C4C"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256 409 509</w:t>
            </w:r>
          </w:p>
        </w:tc>
      </w:tr>
      <w:tr w:rsidR="00B016A1" w:rsidRPr="00B016A1" w14:paraId="51347C51"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C4E"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331400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C4F"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Činnosti knihovnické</w:t>
            </w:r>
          </w:p>
        </w:tc>
        <w:tc>
          <w:tcPr>
            <w:tcW w:w="1701" w:type="dxa"/>
            <w:tcBorders>
              <w:top w:val="nil"/>
              <w:left w:val="nil"/>
              <w:bottom w:val="nil"/>
              <w:right w:val="single" w:sz="4" w:space="0" w:color="auto"/>
            </w:tcBorders>
            <w:shd w:val="clear" w:color="auto" w:fill="auto"/>
            <w:noWrap/>
            <w:vAlign w:val="center"/>
            <w:hideMark/>
          </w:tcPr>
          <w:p w14:paraId="51347C50"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280 690 130</w:t>
            </w:r>
          </w:p>
        </w:tc>
      </w:tr>
      <w:tr w:rsidR="00B016A1" w:rsidRPr="00B016A1" w14:paraId="51347C56"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C52"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331500</w:t>
            </w:r>
          </w:p>
        </w:tc>
        <w:tc>
          <w:tcPr>
            <w:tcW w:w="1240" w:type="dxa"/>
            <w:tcBorders>
              <w:top w:val="nil"/>
              <w:left w:val="nil"/>
              <w:bottom w:val="nil"/>
              <w:right w:val="dashed" w:sz="4" w:space="0" w:color="auto"/>
            </w:tcBorders>
            <w:shd w:val="clear" w:color="auto" w:fill="auto"/>
            <w:noWrap/>
            <w:vAlign w:val="center"/>
            <w:hideMark/>
          </w:tcPr>
          <w:p w14:paraId="51347C53"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nil"/>
              <w:right w:val="dashed" w:sz="4" w:space="0" w:color="auto"/>
            </w:tcBorders>
            <w:shd w:val="clear" w:color="auto" w:fill="auto"/>
            <w:noWrap/>
            <w:vAlign w:val="center"/>
            <w:hideMark/>
          </w:tcPr>
          <w:p w14:paraId="51347C54"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dashed" w:sz="4" w:space="0" w:color="auto"/>
              <w:left w:val="nil"/>
              <w:bottom w:val="nil"/>
              <w:right w:val="single" w:sz="4" w:space="0" w:color="auto"/>
            </w:tcBorders>
            <w:shd w:val="clear" w:color="auto" w:fill="auto"/>
            <w:noWrap/>
            <w:vAlign w:val="center"/>
            <w:hideMark/>
          </w:tcPr>
          <w:p w14:paraId="51347C55"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175 823 532</w:t>
            </w:r>
          </w:p>
        </w:tc>
      </w:tr>
      <w:tr w:rsidR="00B016A1" w:rsidRPr="00B016A1" w14:paraId="51347C5B"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C5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331500</w:t>
            </w:r>
          </w:p>
        </w:tc>
        <w:tc>
          <w:tcPr>
            <w:tcW w:w="1240" w:type="dxa"/>
            <w:tcBorders>
              <w:top w:val="nil"/>
              <w:left w:val="nil"/>
              <w:bottom w:val="dashed" w:sz="4" w:space="0" w:color="auto"/>
              <w:right w:val="dashed" w:sz="4" w:space="0" w:color="auto"/>
            </w:tcBorders>
            <w:shd w:val="clear" w:color="auto" w:fill="auto"/>
            <w:noWrap/>
            <w:vAlign w:val="center"/>
            <w:hideMark/>
          </w:tcPr>
          <w:p w14:paraId="51347C58"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635</w:t>
            </w:r>
          </w:p>
        </w:tc>
        <w:tc>
          <w:tcPr>
            <w:tcW w:w="5422" w:type="dxa"/>
            <w:tcBorders>
              <w:top w:val="nil"/>
              <w:left w:val="nil"/>
              <w:bottom w:val="dashed" w:sz="4" w:space="0" w:color="auto"/>
              <w:right w:val="dashed" w:sz="4" w:space="0" w:color="auto"/>
            </w:tcBorders>
            <w:shd w:val="clear" w:color="auto" w:fill="auto"/>
            <w:noWrap/>
            <w:vAlign w:val="center"/>
            <w:hideMark/>
          </w:tcPr>
          <w:p w14:paraId="51347C59"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Investiční transfery příspěvkovým a podobným organizacím</w:t>
            </w:r>
          </w:p>
        </w:tc>
        <w:tc>
          <w:tcPr>
            <w:tcW w:w="1701" w:type="dxa"/>
            <w:tcBorders>
              <w:top w:val="nil"/>
              <w:left w:val="nil"/>
              <w:bottom w:val="dashed" w:sz="4" w:space="0" w:color="auto"/>
              <w:right w:val="single" w:sz="4" w:space="0" w:color="auto"/>
            </w:tcBorders>
            <w:shd w:val="clear" w:color="auto" w:fill="auto"/>
            <w:noWrap/>
            <w:vAlign w:val="center"/>
            <w:hideMark/>
          </w:tcPr>
          <w:p w14:paraId="51347C5A"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311 108 329</w:t>
            </w:r>
          </w:p>
        </w:tc>
      </w:tr>
      <w:tr w:rsidR="00B016A1" w:rsidRPr="00B016A1" w14:paraId="51347C5F" w14:textId="77777777" w:rsidTr="00B016A1">
        <w:trPr>
          <w:trHeight w:val="360"/>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C5C"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331500</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C5D"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Činnosti muzeí a galerií</w:t>
            </w:r>
          </w:p>
        </w:tc>
        <w:tc>
          <w:tcPr>
            <w:tcW w:w="1701" w:type="dxa"/>
            <w:tcBorders>
              <w:top w:val="nil"/>
              <w:left w:val="nil"/>
              <w:bottom w:val="single" w:sz="4" w:space="0" w:color="auto"/>
              <w:right w:val="single" w:sz="4" w:space="0" w:color="auto"/>
            </w:tcBorders>
            <w:shd w:val="clear" w:color="auto" w:fill="auto"/>
            <w:noWrap/>
            <w:vAlign w:val="center"/>
            <w:hideMark/>
          </w:tcPr>
          <w:p w14:paraId="51347C5E"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486 931 861</w:t>
            </w:r>
          </w:p>
        </w:tc>
      </w:tr>
      <w:tr w:rsidR="00B016A1" w:rsidRPr="00B016A1" w14:paraId="51347C64" w14:textId="77777777" w:rsidTr="0085383F">
        <w:trPr>
          <w:trHeight w:val="741"/>
        </w:trPr>
        <w:tc>
          <w:tcPr>
            <w:tcW w:w="1008" w:type="dxa"/>
            <w:tcBorders>
              <w:top w:val="nil"/>
              <w:left w:val="nil"/>
              <w:bottom w:val="nil"/>
              <w:right w:val="nil"/>
            </w:tcBorders>
            <w:shd w:val="clear" w:color="auto" w:fill="auto"/>
            <w:noWrap/>
            <w:vAlign w:val="bottom"/>
            <w:hideMark/>
          </w:tcPr>
          <w:p w14:paraId="51347C60"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bottom"/>
            <w:hideMark/>
          </w:tcPr>
          <w:p w14:paraId="51347C61"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504003</w:t>
            </w:r>
          </w:p>
        </w:tc>
        <w:tc>
          <w:tcPr>
            <w:tcW w:w="5422" w:type="dxa"/>
            <w:tcBorders>
              <w:top w:val="nil"/>
              <w:left w:val="nil"/>
              <w:bottom w:val="nil"/>
              <w:right w:val="nil"/>
            </w:tcBorders>
            <w:shd w:val="clear" w:color="auto" w:fill="auto"/>
            <w:vAlign w:val="bottom"/>
            <w:hideMark/>
          </w:tcPr>
          <w:p w14:paraId="51347C62"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Rozvoj a obnova mat. tech</w:t>
            </w:r>
            <w:r w:rsidR="0085383F">
              <w:rPr>
                <w:rFonts w:ascii="Times New Roman" w:hAnsi="Times New Roman"/>
                <w:b/>
                <w:bCs/>
                <w:color w:val="000000"/>
                <w:szCs w:val="24"/>
              </w:rPr>
              <w:t>n</w:t>
            </w:r>
            <w:r w:rsidRPr="00B016A1">
              <w:rPr>
                <w:rFonts w:ascii="Times New Roman" w:hAnsi="Times New Roman"/>
                <w:b/>
                <w:bCs/>
                <w:color w:val="000000"/>
                <w:szCs w:val="24"/>
              </w:rPr>
              <w:t>. základny státních kultur. zařízení</w:t>
            </w:r>
          </w:p>
        </w:tc>
        <w:tc>
          <w:tcPr>
            <w:tcW w:w="1701" w:type="dxa"/>
            <w:tcBorders>
              <w:top w:val="nil"/>
              <w:left w:val="nil"/>
              <w:bottom w:val="nil"/>
              <w:right w:val="nil"/>
            </w:tcBorders>
            <w:shd w:val="clear" w:color="auto" w:fill="auto"/>
            <w:noWrap/>
            <w:vAlign w:val="bottom"/>
            <w:hideMark/>
          </w:tcPr>
          <w:p w14:paraId="51347C63"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422 137 000</w:t>
            </w:r>
          </w:p>
        </w:tc>
      </w:tr>
      <w:tr w:rsidR="00B016A1" w:rsidRPr="00B016A1" w14:paraId="51347C69" w14:textId="77777777" w:rsidTr="00B016A1">
        <w:trPr>
          <w:trHeight w:val="360"/>
        </w:trPr>
        <w:tc>
          <w:tcPr>
            <w:tcW w:w="1008" w:type="dxa"/>
            <w:tcBorders>
              <w:top w:val="nil"/>
              <w:left w:val="nil"/>
              <w:bottom w:val="nil"/>
              <w:right w:val="nil"/>
            </w:tcBorders>
            <w:shd w:val="clear" w:color="auto" w:fill="auto"/>
            <w:noWrap/>
            <w:vAlign w:val="center"/>
            <w:hideMark/>
          </w:tcPr>
          <w:p w14:paraId="51347C65"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 xml:space="preserve">v tom: </w:t>
            </w:r>
          </w:p>
        </w:tc>
        <w:tc>
          <w:tcPr>
            <w:tcW w:w="1240" w:type="dxa"/>
            <w:tcBorders>
              <w:top w:val="nil"/>
              <w:left w:val="nil"/>
              <w:bottom w:val="nil"/>
              <w:right w:val="nil"/>
            </w:tcBorders>
            <w:shd w:val="clear" w:color="auto" w:fill="auto"/>
            <w:noWrap/>
            <w:vAlign w:val="center"/>
            <w:hideMark/>
          </w:tcPr>
          <w:p w14:paraId="51347C66"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1100000</w:t>
            </w:r>
          </w:p>
        </w:tc>
        <w:tc>
          <w:tcPr>
            <w:tcW w:w="5422" w:type="dxa"/>
            <w:tcBorders>
              <w:top w:val="nil"/>
              <w:left w:val="nil"/>
              <w:bottom w:val="nil"/>
              <w:right w:val="nil"/>
            </w:tcBorders>
            <w:shd w:val="clear" w:color="auto" w:fill="auto"/>
            <w:noWrap/>
            <w:vAlign w:val="center"/>
            <w:hideMark/>
          </w:tcPr>
          <w:p w14:paraId="51347C67"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zdroj SR - základní</w:t>
            </w:r>
          </w:p>
        </w:tc>
        <w:tc>
          <w:tcPr>
            <w:tcW w:w="1701" w:type="dxa"/>
            <w:tcBorders>
              <w:top w:val="nil"/>
              <w:left w:val="nil"/>
              <w:bottom w:val="nil"/>
              <w:right w:val="nil"/>
            </w:tcBorders>
            <w:shd w:val="clear" w:color="auto" w:fill="auto"/>
            <w:noWrap/>
            <w:vAlign w:val="center"/>
            <w:hideMark/>
          </w:tcPr>
          <w:p w14:paraId="51347C68"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422 137 000</w:t>
            </w:r>
          </w:p>
        </w:tc>
      </w:tr>
      <w:tr w:rsidR="00B016A1" w:rsidRPr="00B016A1" w14:paraId="51347C6E"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C6A"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Paragraf</w:t>
            </w:r>
          </w:p>
        </w:tc>
        <w:tc>
          <w:tcPr>
            <w:tcW w:w="1240" w:type="dxa"/>
            <w:tcBorders>
              <w:top w:val="single" w:sz="4" w:space="0" w:color="auto"/>
              <w:left w:val="nil"/>
              <w:bottom w:val="nil"/>
              <w:right w:val="dashed" w:sz="4" w:space="0" w:color="auto"/>
            </w:tcBorders>
            <w:shd w:val="clear" w:color="auto" w:fill="auto"/>
            <w:vAlign w:val="center"/>
            <w:hideMark/>
          </w:tcPr>
          <w:p w14:paraId="51347C6B"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C6C"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C6D"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C73"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C6F"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331500</w:t>
            </w:r>
          </w:p>
        </w:tc>
        <w:tc>
          <w:tcPr>
            <w:tcW w:w="1240" w:type="dxa"/>
            <w:tcBorders>
              <w:top w:val="dashed" w:sz="4" w:space="0" w:color="auto"/>
              <w:left w:val="nil"/>
              <w:bottom w:val="nil"/>
              <w:right w:val="dashed" w:sz="4" w:space="0" w:color="auto"/>
            </w:tcBorders>
            <w:shd w:val="clear" w:color="auto" w:fill="auto"/>
            <w:noWrap/>
            <w:vAlign w:val="center"/>
            <w:hideMark/>
          </w:tcPr>
          <w:p w14:paraId="51347C70"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dashed" w:sz="4" w:space="0" w:color="auto"/>
              <w:left w:val="nil"/>
              <w:bottom w:val="nil"/>
              <w:right w:val="dashed" w:sz="4" w:space="0" w:color="auto"/>
            </w:tcBorders>
            <w:shd w:val="clear" w:color="auto" w:fill="auto"/>
            <w:noWrap/>
            <w:vAlign w:val="center"/>
            <w:hideMark/>
          </w:tcPr>
          <w:p w14:paraId="51347C71"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dashed" w:sz="4" w:space="0" w:color="auto"/>
              <w:left w:val="nil"/>
              <w:bottom w:val="nil"/>
              <w:right w:val="single" w:sz="4" w:space="0" w:color="auto"/>
            </w:tcBorders>
            <w:shd w:val="clear" w:color="auto" w:fill="auto"/>
            <w:noWrap/>
            <w:vAlign w:val="center"/>
            <w:hideMark/>
          </w:tcPr>
          <w:p w14:paraId="51347C72"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36 394 080</w:t>
            </w:r>
          </w:p>
        </w:tc>
      </w:tr>
      <w:tr w:rsidR="00B016A1" w:rsidRPr="00B016A1" w14:paraId="51347C78"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C74"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331500</w:t>
            </w:r>
          </w:p>
        </w:tc>
        <w:tc>
          <w:tcPr>
            <w:tcW w:w="1240" w:type="dxa"/>
            <w:tcBorders>
              <w:top w:val="nil"/>
              <w:left w:val="nil"/>
              <w:bottom w:val="dashed" w:sz="4" w:space="0" w:color="auto"/>
              <w:right w:val="dashed" w:sz="4" w:space="0" w:color="auto"/>
            </w:tcBorders>
            <w:shd w:val="clear" w:color="auto" w:fill="auto"/>
            <w:noWrap/>
            <w:vAlign w:val="center"/>
            <w:hideMark/>
          </w:tcPr>
          <w:p w14:paraId="51347C75"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635</w:t>
            </w:r>
          </w:p>
        </w:tc>
        <w:tc>
          <w:tcPr>
            <w:tcW w:w="5422" w:type="dxa"/>
            <w:tcBorders>
              <w:top w:val="nil"/>
              <w:left w:val="nil"/>
              <w:bottom w:val="dashed" w:sz="4" w:space="0" w:color="auto"/>
              <w:right w:val="dashed" w:sz="4" w:space="0" w:color="auto"/>
            </w:tcBorders>
            <w:shd w:val="clear" w:color="auto" w:fill="auto"/>
            <w:noWrap/>
            <w:vAlign w:val="center"/>
            <w:hideMark/>
          </w:tcPr>
          <w:p w14:paraId="51347C76"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Investiční transfery příspěvkovým a podobným organizacím</w:t>
            </w:r>
          </w:p>
        </w:tc>
        <w:tc>
          <w:tcPr>
            <w:tcW w:w="1701" w:type="dxa"/>
            <w:tcBorders>
              <w:top w:val="nil"/>
              <w:left w:val="nil"/>
              <w:bottom w:val="dashed" w:sz="4" w:space="0" w:color="auto"/>
              <w:right w:val="single" w:sz="4" w:space="0" w:color="auto"/>
            </w:tcBorders>
            <w:shd w:val="clear" w:color="auto" w:fill="auto"/>
            <w:noWrap/>
            <w:vAlign w:val="center"/>
            <w:hideMark/>
          </w:tcPr>
          <w:p w14:paraId="51347C77"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137 258 166</w:t>
            </w:r>
          </w:p>
        </w:tc>
      </w:tr>
      <w:tr w:rsidR="00B016A1" w:rsidRPr="00B016A1" w14:paraId="51347C7C" w14:textId="77777777" w:rsidTr="000D3104">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C79"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331500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C7A"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Činnosti muzeí a galerií</w:t>
            </w:r>
          </w:p>
        </w:tc>
        <w:tc>
          <w:tcPr>
            <w:tcW w:w="1701" w:type="dxa"/>
            <w:tcBorders>
              <w:top w:val="nil"/>
              <w:left w:val="nil"/>
              <w:bottom w:val="dashed" w:sz="4" w:space="0" w:color="auto"/>
              <w:right w:val="single" w:sz="4" w:space="0" w:color="auto"/>
            </w:tcBorders>
            <w:shd w:val="clear" w:color="auto" w:fill="auto"/>
            <w:noWrap/>
            <w:vAlign w:val="center"/>
            <w:hideMark/>
          </w:tcPr>
          <w:p w14:paraId="51347C7B"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173 652 246</w:t>
            </w:r>
          </w:p>
        </w:tc>
      </w:tr>
      <w:tr w:rsidR="00B016A1" w:rsidRPr="00B016A1" w14:paraId="51347C81" w14:textId="77777777" w:rsidTr="000D3104">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C7D"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lastRenderedPageBreak/>
              <w:t>331900</w:t>
            </w:r>
          </w:p>
        </w:tc>
        <w:tc>
          <w:tcPr>
            <w:tcW w:w="1240" w:type="dxa"/>
            <w:tcBorders>
              <w:top w:val="dashed" w:sz="4" w:space="0" w:color="auto"/>
              <w:left w:val="nil"/>
              <w:bottom w:val="dashed" w:sz="4" w:space="0" w:color="auto"/>
              <w:right w:val="dashed" w:sz="4" w:space="0" w:color="auto"/>
            </w:tcBorders>
            <w:shd w:val="clear" w:color="auto" w:fill="auto"/>
            <w:noWrap/>
            <w:vAlign w:val="center"/>
            <w:hideMark/>
          </w:tcPr>
          <w:p w14:paraId="51347C7E"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dashed" w:sz="4" w:space="0" w:color="auto"/>
              <w:left w:val="nil"/>
              <w:bottom w:val="dashed" w:sz="4" w:space="0" w:color="auto"/>
              <w:right w:val="dashed" w:sz="4" w:space="0" w:color="auto"/>
            </w:tcBorders>
            <w:shd w:val="clear" w:color="auto" w:fill="auto"/>
            <w:noWrap/>
            <w:vAlign w:val="center"/>
            <w:hideMark/>
          </w:tcPr>
          <w:p w14:paraId="51347C7F"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C80"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60 000</w:t>
            </w:r>
          </w:p>
        </w:tc>
      </w:tr>
      <w:tr w:rsidR="00B016A1" w:rsidRPr="00B016A1" w14:paraId="51347C85"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C82"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331900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C83"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Ostatní záležitosti kultury</w:t>
            </w:r>
          </w:p>
        </w:tc>
        <w:tc>
          <w:tcPr>
            <w:tcW w:w="1701" w:type="dxa"/>
            <w:tcBorders>
              <w:top w:val="nil"/>
              <w:left w:val="nil"/>
              <w:bottom w:val="nil"/>
              <w:right w:val="single" w:sz="4" w:space="0" w:color="auto"/>
            </w:tcBorders>
            <w:shd w:val="clear" w:color="auto" w:fill="auto"/>
            <w:noWrap/>
            <w:vAlign w:val="center"/>
            <w:hideMark/>
          </w:tcPr>
          <w:p w14:paraId="51347C84"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60 000</w:t>
            </w:r>
          </w:p>
        </w:tc>
      </w:tr>
      <w:tr w:rsidR="00B016A1" w:rsidRPr="00B016A1" w14:paraId="51347C8A"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C86"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332100</w:t>
            </w:r>
          </w:p>
        </w:tc>
        <w:tc>
          <w:tcPr>
            <w:tcW w:w="1240" w:type="dxa"/>
            <w:tcBorders>
              <w:top w:val="nil"/>
              <w:left w:val="nil"/>
              <w:bottom w:val="nil"/>
              <w:right w:val="dashed" w:sz="4" w:space="0" w:color="auto"/>
            </w:tcBorders>
            <w:shd w:val="clear" w:color="auto" w:fill="auto"/>
            <w:noWrap/>
            <w:vAlign w:val="center"/>
            <w:hideMark/>
          </w:tcPr>
          <w:p w14:paraId="51347C8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nil"/>
              <w:right w:val="dashed" w:sz="4" w:space="0" w:color="auto"/>
            </w:tcBorders>
            <w:shd w:val="clear" w:color="auto" w:fill="auto"/>
            <w:noWrap/>
            <w:vAlign w:val="center"/>
            <w:hideMark/>
          </w:tcPr>
          <w:p w14:paraId="51347C88"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dashed" w:sz="4" w:space="0" w:color="auto"/>
              <w:left w:val="nil"/>
              <w:bottom w:val="nil"/>
              <w:right w:val="single" w:sz="4" w:space="0" w:color="auto"/>
            </w:tcBorders>
            <w:shd w:val="clear" w:color="auto" w:fill="auto"/>
            <w:noWrap/>
            <w:vAlign w:val="center"/>
            <w:hideMark/>
          </w:tcPr>
          <w:p w14:paraId="51347C89"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82 953 264</w:t>
            </w:r>
          </w:p>
        </w:tc>
      </w:tr>
      <w:tr w:rsidR="00B016A1" w:rsidRPr="00B016A1" w14:paraId="51347C8F"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C8B"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332100</w:t>
            </w:r>
          </w:p>
        </w:tc>
        <w:tc>
          <w:tcPr>
            <w:tcW w:w="1240" w:type="dxa"/>
            <w:tcBorders>
              <w:top w:val="nil"/>
              <w:left w:val="nil"/>
              <w:bottom w:val="dashed" w:sz="4" w:space="0" w:color="auto"/>
              <w:right w:val="dashed" w:sz="4" w:space="0" w:color="auto"/>
            </w:tcBorders>
            <w:shd w:val="clear" w:color="auto" w:fill="auto"/>
            <w:noWrap/>
            <w:vAlign w:val="center"/>
            <w:hideMark/>
          </w:tcPr>
          <w:p w14:paraId="51347C8C"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635</w:t>
            </w:r>
          </w:p>
        </w:tc>
        <w:tc>
          <w:tcPr>
            <w:tcW w:w="5422" w:type="dxa"/>
            <w:tcBorders>
              <w:top w:val="nil"/>
              <w:left w:val="nil"/>
              <w:bottom w:val="dashed" w:sz="4" w:space="0" w:color="auto"/>
              <w:right w:val="dashed" w:sz="4" w:space="0" w:color="auto"/>
            </w:tcBorders>
            <w:shd w:val="clear" w:color="auto" w:fill="auto"/>
            <w:noWrap/>
            <w:vAlign w:val="center"/>
            <w:hideMark/>
          </w:tcPr>
          <w:p w14:paraId="51347C8D"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Investiční transfery příspěvkovým a podobným organizacím</w:t>
            </w:r>
          </w:p>
        </w:tc>
        <w:tc>
          <w:tcPr>
            <w:tcW w:w="1701" w:type="dxa"/>
            <w:tcBorders>
              <w:top w:val="nil"/>
              <w:left w:val="nil"/>
              <w:bottom w:val="dashed" w:sz="4" w:space="0" w:color="auto"/>
              <w:right w:val="single" w:sz="4" w:space="0" w:color="auto"/>
            </w:tcBorders>
            <w:shd w:val="clear" w:color="auto" w:fill="auto"/>
            <w:noWrap/>
            <w:vAlign w:val="center"/>
            <w:hideMark/>
          </w:tcPr>
          <w:p w14:paraId="51347C8E"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165 471 490</w:t>
            </w:r>
          </w:p>
        </w:tc>
      </w:tr>
      <w:tr w:rsidR="00B016A1" w:rsidRPr="00B016A1" w14:paraId="51347C93" w14:textId="77777777" w:rsidTr="00B016A1">
        <w:trPr>
          <w:trHeight w:val="360"/>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C90"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332100</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C91"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Činnosti památkových ústavů, hradů a zámků</w:t>
            </w:r>
          </w:p>
        </w:tc>
        <w:tc>
          <w:tcPr>
            <w:tcW w:w="1701" w:type="dxa"/>
            <w:tcBorders>
              <w:top w:val="nil"/>
              <w:left w:val="nil"/>
              <w:bottom w:val="single" w:sz="4" w:space="0" w:color="auto"/>
              <w:right w:val="single" w:sz="4" w:space="0" w:color="auto"/>
            </w:tcBorders>
            <w:shd w:val="clear" w:color="auto" w:fill="auto"/>
            <w:noWrap/>
            <w:vAlign w:val="center"/>
            <w:hideMark/>
          </w:tcPr>
          <w:p w14:paraId="51347C92"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248 424 754</w:t>
            </w:r>
          </w:p>
        </w:tc>
      </w:tr>
      <w:tr w:rsidR="00B016A1" w:rsidRPr="00B016A1" w14:paraId="51347C98" w14:textId="77777777" w:rsidTr="00B016A1">
        <w:trPr>
          <w:trHeight w:val="360"/>
        </w:trPr>
        <w:tc>
          <w:tcPr>
            <w:tcW w:w="1008" w:type="dxa"/>
            <w:tcBorders>
              <w:top w:val="nil"/>
              <w:left w:val="nil"/>
              <w:bottom w:val="nil"/>
              <w:right w:val="nil"/>
            </w:tcBorders>
            <w:shd w:val="clear" w:color="auto" w:fill="auto"/>
            <w:noWrap/>
            <w:vAlign w:val="center"/>
            <w:hideMark/>
          </w:tcPr>
          <w:p w14:paraId="51347C94" w14:textId="77777777" w:rsidR="00B016A1" w:rsidRPr="00B016A1" w:rsidRDefault="00B016A1" w:rsidP="00B016A1">
            <w:pPr>
              <w:spacing w:line="240" w:lineRule="auto"/>
              <w:jc w:val="center"/>
              <w:rPr>
                <w:rFonts w:ascii="Times New Roman" w:hAnsi="Times New Roman"/>
                <w:b/>
                <w:bCs/>
                <w:color w:val="000000"/>
                <w:sz w:val="22"/>
                <w:szCs w:val="22"/>
              </w:rPr>
            </w:pPr>
          </w:p>
        </w:tc>
        <w:tc>
          <w:tcPr>
            <w:tcW w:w="1240" w:type="dxa"/>
            <w:tcBorders>
              <w:top w:val="nil"/>
              <w:left w:val="nil"/>
              <w:bottom w:val="nil"/>
              <w:right w:val="nil"/>
            </w:tcBorders>
            <w:shd w:val="clear" w:color="auto" w:fill="auto"/>
            <w:noWrap/>
            <w:vAlign w:val="center"/>
            <w:hideMark/>
          </w:tcPr>
          <w:p w14:paraId="51347C95" w14:textId="77777777" w:rsidR="00B016A1" w:rsidRPr="00B016A1" w:rsidRDefault="00B016A1" w:rsidP="00B016A1">
            <w:pPr>
              <w:spacing w:line="240" w:lineRule="auto"/>
              <w:jc w:val="left"/>
              <w:rPr>
                <w:rFonts w:ascii="Times New Roman" w:hAnsi="Times New Roman"/>
                <w:b/>
                <w:bCs/>
                <w:color w:val="000000"/>
                <w:sz w:val="22"/>
                <w:szCs w:val="22"/>
              </w:rPr>
            </w:pPr>
          </w:p>
        </w:tc>
        <w:tc>
          <w:tcPr>
            <w:tcW w:w="5422" w:type="dxa"/>
            <w:tcBorders>
              <w:top w:val="nil"/>
              <w:left w:val="nil"/>
              <w:bottom w:val="nil"/>
              <w:right w:val="nil"/>
            </w:tcBorders>
            <w:shd w:val="clear" w:color="auto" w:fill="auto"/>
            <w:noWrap/>
            <w:vAlign w:val="center"/>
            <w:hideMark/>
          </w:tcPr>
          <w:p w14:paraId="51347C96" w14:textId="77777777" w:rsidR="00B016A1" w:rsidRPr="00B016A1" w:rsidRDefault="00B016A1" w:rsidP="00B016A1">
            <w:pPr>
              <w:spacing w:line="240" w:lineRule="auto"/>
              <w:jc w:val="left"/>
              <w:rPr>
                <w:rFonts w:ascii="Times New Roman" w:hAnsi="Times New Roman"/>
                <w:b/>
                <w:bCs/>
                <w:color w:val="000000"/>
                <w:sz w:val="22"/>
                <w:szCs w:val="22"/>
              </w:rPr>
            </w:pPr>
          </w:p>
        </w:tc>
        <w:tc>
          <w:tcPr>
            <w:tcW w:w="1701" w:type="dxa"/>
            <w:tcBorders>
              <w:top w:val="nil"/>
              <w:left w:val="nil"/>
              <w:bottom w:val="nil"/>
              <w:right w:val="nil"/>
            </w:tcBorders>
            <w:shd w:val="clear" w:color="auto" w:fill="auto"/>
            <w:noWrap/>
            <w:vAlign w:val="center"/>
            <w:hideMark/>
          </w:tcPr>
          <w:p w14:paraId="51347C97" w14:textId="77777777" w:rsidR="00B016A1" w:rsidRPr="00B016A1" w:rsidRDefault="00B016A1" w:rsidP="00B016A1">
            <w:pPr>
              <w:spacing w:line="240" w:lineRule="auto"/>
              <w:jc w:val="left"/>
              <w:rPr>
                <w:rFonts w:ascii="Times New Roman" w:hAnsi="Times New Roman"/>
                <w:b/>
                <w:bCs/>
                <w:color w:val="000000"/>
                <w:sz w:val="22"/>
                <w:szCs w:val="22"/>
              </w:rPr>
            </w:pPr>
          </w:p>
        </w:tc>
      </w:tr>
      <w:tr w:rsidR="00B016A1" w:rsidRPr="00B016A1" w14:paraId="51347C9D" w14:textId="77777777" w:rsidTr="00B016A1">
        <w:trPr>
          <w:trHeight w:val="619"/>
        </w:trPr>
        <w:tc>
          <w:tcPr>
            <w:tcW w:w="1008" w:type="dxa"/>
            <w:tcBorders>
              <w:top w:val="nil"/>
              <w:left w:val="nil"/>
              <w:bottom w:val="nil"/>
              <w:right w:val="nil"/>
            </w:tcBorders>
            <w:shd w:val="clear" w:color="auto" w:fill="auto"/>
            <w:noWrap/>
            <w:vAlign w:val="bottom"/>
            <w:hideMark/>
          </w:tcPr>
          <w:p w14:paraId="51347C99"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bottom"/>
            <w:hideMark/>
          </w:tcPr>
          <w:p w14:paraId="51347C9A"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504005</w:t>
            </w:r>
          </w:p>
        </w:tc>
        <w:tc>
          <w:tcPr>
            <w:tcW w:w="5422" w:type="dxa"/>
            <w:tcBorders>
              <w:top w:val="nil"/>
              <w:left w:val="nil"/>
              <w:bottom w:val="nil"/>
              <w:right w:val="nil"/>
            </w:tcBorders>
            <w:shd w:val="clear" w:color="auto" w:fill="auto"/>
            <w:vAlign w:val="bottom"/>
            <w:hideMark/>
          </w:tcPr>
          <w:p w14:paraId="51347C9B"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Kulturní dědictví ve vlastnictví státu, podporované evropskými fondy</w:t>
            </w:r>
          </w:p>
        </w:tc>
        <w:tc>
          <w:tcPr>
            <w:tcW w:w="1701" w:type="dxa"/>
            <w:tcBorders>
              <w:top w:val="nil"/>
              <w:left w:val="nil"/>
              <w:bottom w:val="nil"/>
              <w:right w:val="nil"/>
            </w:tcBorders>
            <w:shd w:val="clear" w:color="auto" w:fill="auto"/>
            <w:noWrap/>
            <w:vAlign w:val="bottom"/>
            <w:hideMark/>
          </w:tcPr>
          <w:p w14:paraId="51347C9C"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50 180 000</w:t>
            </w:r>
          </w:p>
        </w:tc>
      </w:tr>
      <w:tr w:rsidR="00B016A1" w:rsidRPr="00B016A1" w14:paraId="51347CA2" w14:textId="77777777" w:rsidTr="00B016A1">
        <w:trPr>
          <w:trHeight w:val="360"/>
        </w:trPr>
        <w:tc>
          <w:tcPr>
            <w:tcW w:w="1008" w:type="dxa"/>
            <w:tcBorders>
              <w:top w:val="nil"/>
              <w:left w:val="nil"/>
              <w:bottom w:val="nil"/>
              <w:right w:val="nil"/>
            </w:tcBorders>
            <w:shd w:val="clear" w:color="auto" w:fill="auto"/>
            <w:noWrap/>
            <w:vAlign w:val="center"/>
            <w:hideMark/>
          </w:tcPr>
          <w:p w14:paraId="51347C9E"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 xml:space="preserve">v tom: </w:t>
            </w:r>
          </w:p>
        </w:tc>
        <w:tc>
          <w:tcPr>
            <w:tcW w:w="1240" w:type="dxa"/>
            <w:tcBorders>
              <w:top w:val="nil"/>
              <w:left w:val="nil"/>
              <w:bottom w:val="nil"/>
              <w:right w:val="nil"/>
            </w:tcBorders>
            <w:shd w:val="clear" w:color="auto" w:fill="auto"/>
            <w:noWrap/>
            <w:vAlign w:val="center"/>
            <w:hideMark/>
          </w:tcPr>
          <w:p w14:paraId="51347C9F"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1110400</w:t>
            </w:r>
          </w:p>
        </w:tc>
        <w:tc>
          <w:tcPr>
            <w:tcW w:w="5422" w:type="dxa"/>
            <w:tcBorders>
              <w:top w:val="nil"/>
              <w:left w:val="nil"/>
              <w:bottom w:val="nil"/>
              <w:right w:val="nil"/>
            </w:tcBorders>
            <w:shd w:val="clear" w:color="auto" w:fill="auto"/>
            <w:noWrap/>
            <w:vAlign w:val="center"/>
            <w:hideMark/>
          </w:tcPr>
          <w:p w14:paraId="51347CA0"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zdroj SR - OP Zaměstnanost 2014+</w:t>
            </w:r>
          </w:p>
        </w:tc>
        <w:tc>
          <w:tcPr>
            <w:tcW w:w="1701" w:type="dxa"/>
            <w:tcBorders>
              <w:top w:val="nil"/>
              <w:left w:val="nil"/>
              <w:bottom w:val="nil"/>
              <w:right w:val="nil"/>
            </w:tcBorders>
            <w:shd w:val="clear" w:color="auto" w:fill="auto"/>
            <w:noWrap/>
            <w:vAlign w:val="center"/>
            <w:hideMark/>
          </w:tcPr>
          <w:p w14:paraId="51347CA1"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6 180 000</w:t>
            </w:r>
          </w:p>
        </w:tc>
      </w:tr>
      <w:tr w:rsidR="00B016A1" w:rsidRPr="00B016A1" w14:paraId="51347CA7" w14:textId="77777777" w:rsidTr="00B016A1">
        <w:trPr>
          <w:trHeight w:val="360"/>
        </w:trPr>
        <w:tc>
          <w:tcPr>
            <w:tcW w:w="1008" w:type="dxa"/>
            <w:tcBorders>
              <w:top w:val="nil"/>
              <w:left w:val="nil"/>
              <w:bottom w:val="nil"/>
              <w:right w:val="nil"/>
            </w:tcBorders>
            <w:shd w:val="clear" w:color="auto" w:fill="auto"/>
            <w:noWrap/>
            <w:vAlign w:val="center"/>
            <w:hideMark/>
          </w:tcPr>
          <w:p w14:paraId="51347CA3"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 xml:space="preserve">v tom: </w:t>
            </w:r>
          </w:p>
        </w:tc>
        <w:tc>
          <w:tcPr>
            <w:tcW w:w="1240" w:type="dxa"/>
            <w:tcBorders>
              <w:top w:val="nil"/>
              <w:left w:val="nil"/>
              <w:bottom w:val="nil"/>
              <w:right w:val="nil"/>
            </w:tcBorders>
            <w:shd w:val="clear" w:color="auto" w:fill="auto"/>
            <w:noWrap/>
            <w:vAlign w:val="center"/>
            <w:hideMark/>
          </w:tcPr>
          <w:p w14:paraId="51347CA4"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1110700</w:t>
            </w:r>
          </w:p>
        </w:tc>
        <w:tc>
          <w:tcPr>
            <w:tcW w:w="5422" w:type="dxa"/>
            <w:tcBorders>
              <w:top w:val="nil"/>
              <w:left w:val="nil"/>
              <w:bottom w:val="nil"/>
              <w:right w:val="nil"/>
            </w:tcBorders>
            <w:shd w:val="clear" w:color="auto" w:fill="auto"/>
            <w:noWrap/>
            <w:vAlign w:val="center"/>
            <w:hideMark/>
          </w:tcPr>
          <w:p w14:paraId="51347CA5"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zdroj SR - Integrovaný regionální operační program 2014+</w:t>
            </w:r>
          </w:p>
        </w:tc>
        <w:tc>
          <w:tcPr>
            <w:tcW w:w="1701" w:type="dxa"/>
            <w:tcBorders>
              <w:top w:val="nil"/>
              <w:left w:val="nil"/>
              <w:bottom w:val="nil"/>
              <w:right w:val="nil"/>
            </w:tcBorders>
            <w:shd w:val="clear" w:color="auto" w:fill="auto"/>
            <w:noWrap/>
            <w:vAlign w:val="center"/>
            <w:hideMark/>
          </w:tcPr>
          <w:p w14:paraId="51347CA6"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44 000 000</w:t>
            </w:r>
          </w:p>
        </w:tc>
      </w:tr>
      <w:tr w:rsidR="00B016A1" w:rsidRPr="00B016A1" w14:paraId="51347CAC"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CA8"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Paragraf</w:t>
            </w:r>
          </w:p>
        </w:tc>
        <w:tc>
          <w:tcPr>
            <w:tcW w:w="1240" w:type="dxa"/>
            <w:tcBorders>
              <w:top w:val="single" w:sz="4" w:space="0" w:color="auto"/>
              <w:left w:val="nil"/>
              <w:bottom w:val="nil"/>
              <w:right w:val="dashed" w:sz="4" w:space="0" w:color="auto"/>
            </w:tcBorders>
            <w:shd w:val="clear" w:color="auto" w:fill="auto"/>
            <w:vAlign w:val="center"/>
            <w:hideMark/>
          </w:tcPr>
          <w:p w14:paraId="51347CA9"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CAA"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CAB"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CB1"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CAD"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336100</w:t>
            </w:r>
          </w:p>
        </w:tc>
        <w:tc>
          <w:tcPr>
            <w:tcW w:w="1240" w:type="dxa"/>
            <w:tcBorders>
              <w:top w:val="dashed" w:sz="4" w:space="0" w:color="auto"/>
              <w:left w:val="nil"/>
              <w:bottom w:val="dashed" w:sz="4" w:space="0" w:color="auto"/>
              <w:right w:val="dashed" w:sz="4" w:space="0" w:color="auto"/>
            </w:tcBorders>
            <w:shd w:val="clear" w:color="auto" w:fill="auto"/>
            <w:noWrap/>
            <w:vAlign w:val="center"/>
            <w:hideMark/>
          </w:tcPr>
          <w:p w14:paraId="51347CAE"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611</w:t>
            </w:r>
          </w:p>
        </w:tc>
        <w:tc>
          <w:tcPr>
            <w:tcW w:w="5422" w:type="dxa"/>
            <w:tcBorders>
              <w:top w:val="dashed" w:sz="4" w:space="0" w:color="auto"/>
              <w:left w:val="nil"/>
              <w:bottom w:val="dashed" w:sz="4" w:space="0" w:color="auto"/>
              <w:right w:val="dashed" w:sz="4" w:space="0" w:color="auto"/>
            </w:tcBorders>
            <w:shd w:val="clear" w:color="auto" w:fill="auto"/>
            <w:noWrap/>
            <w:vAlign w:val="center"/>
            <w:hideMark/>
          </w:tcPr>
          <w:p w14:paraId="51347CAF"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Pořízení dlouhodobého nehmotného majetku</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CB0"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6 180 000</w:t>
            </w:r>
          </w:p>
        </w:tc>
      </w:tr>
      <w:tr w:rsidR="00B016A1" w:rsidRPr="00B016A1" w14:paraId="51347CB5" w14:textId="77777777" w:rsidTr="00B016A1">
        <w:trPr>
          <w:trHeight w:val="559"/>
        </w:trPr>
        <w:tc>
          <w:tcPr>
            <w:tcW w:w="1008" w:type="dxa"/>
            <w:tcBorders>
              <w:top w:val="nil"/>
              <w:left w:val="single" w:sz="4" w:space="0" w:color="auto"/>
              <w:bottom w:val="nil"/>
              <w:right w:val="dashed" w:sz="4" w:space="0" w:color="auto"/>
            </w:tcBorders>
            <w:shd w:val="clear" w:color="auto" w:fill="auto"/>
            <w:noWrap/>
            <w:vAlign w:val="center"/>
            <w:hideMark/>
          </w:tcPr>
          <w:p w14:paraId="51347CB2"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336100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CB3"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Činnost ústředního orgánu státní správy v oblasti kultury a církví</w:t>
            </w:r>
          </w:p>
        </w:tc>
        <w:tc>
          <w:tcPr>
            <w:tcW w:w="1701" w:type="dxa"/>
            <w:tcBorders>
              <w:top w:val="nil"/>
              <w:left w:val="nil"/>
              <w:bottom w:val="nil"/>
              <w:right w:val="single" w:sz="4" w:space="0" w:color="auto"/>
            </w:tcBorders>
            <w:shd w:val="clear" w:color="auto" w:fill="auto"/>
            <w:noWrap/>
            <w:vAlign w:val="center"/>
            <w:hideMark/>
          </w:tcPr>
          <w:p w14:paraId="51347CB4"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6 180 000</w:t>
            </w:r>
          </w:p>
        </w:tc>
      </w:tr>
      <w:tr w:rsidR="00B016A1" w:rsidRPr="00B016A1" w14:paraId="51347CBA"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CB6"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332100</w:t>
            </w:r>
          </w:p>
        </w:tc>
        <w:tc>
          <w:tcPr>
            <w:tcW w:w="1240" w:type="dxa"/>
            <w:tcBorders>
              <w:top w:val="nil"/>
              <w:left w:val="nil"/>
              <w:bottom w:val="dashed" w:sz="4" w:space="0" w:color="auto"/>
              <w:right w:val="dashed" w:sz="4" w:space="0" w:color="auto"/>
            </w:tcBorders>
            <w:shd w:val="clear" w:color="auto" w:fill="auto"/>
            <w:noWrap/>
            <w:vAlign w:val="center"/>
            <w:hideMark/>
          </w:tcPr>
          <w:p w14:paraId="51347CB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dashed" w:sz="4" w:space="0" w:color="auto"/>
              <w:right w:val="dashed" w:sz="4" w:space="0" w:color="auto"/>
            </w:tcBorders>
            <w:shd w:val="clear" w:color="auto" w:fill="auto"/>
            <w:noWrap/>
            <w:vAlign w:val="center"/>
            <w:hideMark/>
          </w:tcPr>
          <w:p w14:paraId="51347CB8"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CB9"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44 000 000</w:t>
            </w:r>
          </w:p>
        </w:tc>
      </w:tr>
      <w:tr w:rsidR="00B016A1" w:rsidRPr="00B016A1" w14:paraId="51347CBE" w14:textId="77777777" w:rsidTr="00B016A1">
        <w:trPr>
          <w:trHeight w:val="360"/>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CBB"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332100</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CBC"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Činnosti památkových ústavů, hradů a zámků</w:t>
            </w:r>
          </w:p>
        </w:tc>
        <w:tc>
          <w:tcPr>
            <w:tcW w:w="1701" w:type="dxa"/>
            <w:tcBorders>
              <w:top w:val="nil"/>
              <w:left w:val="nil"/>
              <w:bottom w:val="single" w:sz="4" w:space="0" w:color="auto"/>
              <w:right w:val="single" w:sz="4" w:space="0" w:color="auto"/>
            </w:tcBorders>
            <w:shd w:val="clear" w:color="auto" w:fill="auto"/>
            <w:noWrap/>
            <w:vAlign w:val="center"/>
            <w:hideMark/>
          </w:tcPr>
          <w:p w14:paraId="51347CBD"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44 000 000</w:t>
            </w:r>
          </w:p>
        </w:tc>
      </w:tr>
      <w:tr w:rsidR="00B016A1" w:rsidRPr="00B016A1" w14:paraId="51347CC3" w14:textId="77777777" w:rsidTr="00B016A1">
        <w:trPr>
          <w:trHeight w:val="600"/>
        </w:trPr>
        <w:tc>
          <w:tcPr>
            <w:tcW w:w="1008" w:type="dxa"/>
            <w:tcBorders>
              <w:top w:val="nil"/>
              <w:left w:val="nil"/>
              <w:bottom w:val="nil"/>
              <w:right w:val="nil"/>
            </w:tcBorders>
            <w:shd w:val="clear" w:color="auto" w:fill="auto"/>
            <w:noWrap/>
            <w:vAlign w:val="center"/>
            <w:hideMark/>
          </w:tcPr>
          <w:p w14:paraId="51347CBF" w14:textId="77777777" w:rsidR="00B016A1" w:rsidRPr="00B016A1" w:rsidRDefault="00B016A1" w:rsidP="00B016A1">
            <w:pPr>
              <w:spacing w:line="240" w:lineRule="auto"/>
              <w:jc w:val="center"/>
              <w:rPr>
                <w:rFonts w:ascii="Times New Roman" w:hAnsi="Times New Roman"/>
                <w:b/>
                <w:bCs/>
                <w:color w:val="000000"/>
                <w:sz w:val="22"/>
                <w:szCs w:val="22"/>
              </w:rPr>
            </w:pPr>
          </w:p>
        </w:tc>
        <w:tc>
          <w:tcPr>
            <w:tcW w:w="1240" w:type="dxa"/>
            <w:tcBorders>
              <w:top w:val="nil"/>
              <w:left w:val="nil"/>
              <w:bottom w:val="nil"/>
              <w:right w:val="nil"/>
            </w:tcBorders>
            <w:shd w:val="clear" w:color="auto" w:fill="auto"/>
            <w:noWrap/>
            <w:vAlign w:val="center"/>
            <w:hideMark/>
          </w:tcPr>
          <w:p w14:paraId="51347CC0" w14:textId="77777777" w:rsidR="00B016A1" w:rsidRPr="00B016A1" w:rsidRDefault="00B016A1" w:rsidP="00B016A1">
            <w:pPr>
              <w:spacing w:line="240" w:lineRule="auto"/>
              <w:jc w:val="left"/>
              <w:rPr>
                <w:rFonts w:ascii="Times New Roman" w:hAnsi="Times New Roman"/>
                <w:b/>
                <w:bCs/>
                <w:color w:val="000000"/>
                <w:sz w:val="22"/>
                <w:szCs w:val="22"/>
              </w:rPr>
            </w:pPr>
          </w:p>
        </w:tc>
        <w:tc>
          <w:tcPr>
            <w:tcW w:w="5422" w:type="dxa"/>
            <w:tcBorders>
              <w:top w:val="nil"/>
              <w:left w:val="nil"/>
              <w:bottom w:val="nil"/>
              <w:right w:val="nil"/>
            </w:tcBorders>
            <w:shd w:val="clear" w:color="auto" w:fill="auto"/>
            <w:noWrap/>
            <w:vAlign w:val="center"/>
            <w:hideMark/>
          </w:tcPr>
          <w:p w14:paraId="51347CC1" w14:textId="77777777" w:rsidR="00B016A1" w:rsidRPr="00B016A1" w:rsidRDefault="00B016A1" w:rsidP="00B016A1">
            <w:pPr>
              <w:spacing w:line="240" w:lineRule="auto"/>
              <w:jc w:val="left"/>
              <w:rPr>
                <w:rFonts w:ascii="Times New Roman" w:hAnsi="Times New Roman"/>
                <w:b/>
                <w:bCs/>
                <w:color w:val="000000"/>
                <w:sz w:val="22"/>
                <w:szCs w:val="22"/>
              </w:rPr>
            </w:pPr>
          </w:p>
        </w:tc>
        <w:tc>
          <w:tcPr>
            <w:tcW w:w="1701" w:type="dxa"/>
            <w:tcBorders>
              <w:top w:val="nil"/>
              <w:left w:val="nil"/>
              <w:bottom w:val="nil"/>
              <w:right w:val="nil"/>
            </w:tcBorders>
            <w:shd w:val="clear" w:color="auto" w:fill="auto"/>
            <w:noWrap/>
            <w:vAlign w:val="center"/>
            <w:hideMark/>
          </w:tcPr>
          <w:p w14:paraId="51347CC2" w14:textId="77777777" w:rsidR="00B016A1" w:rsidRPr="00B016A1" w:rsidRDefault="00B016A1" w:rsidP="00B016A1">
            <w:pPr>
              <w:spacing w:line="240" w:lineRule="auto"/>
              <w:jc w:val="left"/>
              <w:rPr>
                <w:rFonts w:ascii="Times New Roman" w:hAnsi="Times New Roman"/>
                <w:b/>
                <w:bCs/>
                <w:color w:val="000000"/>
                <w:sz w:val="22"/>
                <w:szCs w:val="22"/>
              </w:rPr>
            </w:pPr>
          </w:p>
        </w:tc>
      </w:tr>
      <w:tr w:rsidR="00B016A1" w:rsidRPr="00B016A1" w14:paraId="51347CC7" w14:textId="77777777" w:rsidTr="00B016A1">
        <w:trPr>
          <w:trHeight w:val="600"/>
        </w:trPr>
        <w:tc>
          <w:tcPr>
            <w:tcW w:w="1008" w:type="dxa"/>
            <w:tcBorders>
              <w:top w:val="nil"/>
              <w:left w:val="nil"/>
              <w:bottom w:val="nil"/>
              <w:right w:val="nil"/>
            </w:tcBorders>
            <w:shd w:val="clear" w:color="auto" w:fill="auto"/>
            <w:noWrap/>
            <w:vAlign w:val="center"/>
            <w:hideMark/>
          </w:tcPr>
          <w:p w14:paraId="51347CC4" w14:textId="77777777" w:rsidR="00B016A1" w:rsidRPr="00B016A1" w:rsidRDefault="00B016A1" w:rsidP="00B016A1">
            <w:pPr>
              <w:spacing w:line="240" w:lineRule="auto"/>
              <w:jc w:val="center"/>
              <w:rPr>
                <w:rFonts w:ascii="Times New Roman" w:hAnsi="Times New Roman"/>
                <w:b/>
                <w:bCs/>
                <w:color w:val="000000"/>
                <w:sz w:val="26"/>
                <w:szCs w:val="26"/>
              </w:rPr>
            </w:pPr>
            <w:r w:rsidRPr="00B016A1">
              <w:rPr>
                <w:rFonts w:ascii="Times New Roman" w:hAnsi="Times New Roman"/>
                <w:b/>
                <w:bCs/>
                <w:color w:val="000000"/>
                <w:sz w:val="26"/>
                <w:szCs w:val="26"/>
              </w:rPr>
              <w:t>BLOK</w:t>
            </w:r>
          </w:p>
        </w:tc>
        <w:tc>
          <w:tcPr>
            <w:tcW w:w="6662" w:type="dxa"/>
            <w:gridSpan w:val="2"/>
            <w:tcBorders>
              <w:top w:val="nil"/>
              <w:left w:val="nil"/>
              <w:bottom w:val="nil"/>
              <w:right w:val="nil"/>
            </w:tcBorders>
            <w:shd w:val="clear" w:color="auto" w:fill="auto"/>
            <w:vAlign w:val="center"/>
            <w:hideMark/>
          </w:tcPr>
          <w:p w14:paraId="51347CC5" w14:textId="77777777" w:rsidR="00B016A1" w:rsidRPr="00B016A1" w:rsidRDefault="00B016A1" w:rsidP="00B016A1">
            <w:pPr>
              <w:spacing w:line="240" w:lineRule="auto"/>
              <w:jc w:val="left"/>
              <w:rPr>
                <w:rFonts w:ascii="Times New Roman" w:hAnsi="Times New Roman"/>
                <w:b/>
                <w:bCs/>
                <w:color w:val="000000"/>
                <w:sz w:val="26"/>
                <w:szCs w:val="26"/>
              </w:rPr>
            </w:pPr>
            <w:r w:rsidRPr="00B016A1">
              <w:rPr>
                <w:rFonts w:ascii="Times New Roman" w:hAnsi="Times New Roman"/>
                <w:b/>
                <w:bCs/>
                <w:color w:val="000000"/>
                <w:sz w:val="26"/>
                <w:szCs w:val="26"/>
              </w:rPr>
              <w:t>Kulturní služby, podpora živého umění</w:t>
            </w:r>
          </w:p>
        </w:tc>
        <w:tc>
          <w:tcPr>
            <w:tcW w:w="1701" w:type="dxa"/>
            <w:tcBorders>
              <w:top w:val="nil"/>
              <w:left w:val="nil"/>
              <w:bottom w:val="nil"/>
              <w:right w:val="nil"/>
            </w:tcBorders>
            <w:shd w:val="clear" w:color="auto" w:fill="auto"/>
            <w:noWrap/>
            <w:vAlign w:val="center"/>
            <w:hideMark/>
          </w:tcPr>
          <w:p w14:paraId="51347CC6" w14:textId="77777777" w:rsidR="00B016A1" w:rsidRPr="00B016A1" w:rsidRDefault="00B016A1" w:rsidP="00B016A1">
            <w:pPr>
              <w:spacing w:line="240" w:lineRule="auto"/>
              <w:jc w:val="right"/>
              <w:rPr>
                <w:rFonts w:ascii="Times New Roman" w:hAnsi="Times New Roman"/>
                <w:b/>
                <w:bCs/>
                <w:color w:val="000000"/>
                <w:sz w:val="26"/>
                <w:szCs w:val="26"/>
              </w:rPr>
            </w:pPr>
            <w:r w:rsidRPr="00B016A1">
              <w:rPr>
                <w:rFonts w:ascii="Times New Roman" w:hAnsi="Times New Roman"/>
                <w:b/>
                <w:bCs/>
                <w:color w:val="000000"/>
                <w:sz w:val="26"/>
                <w:szCs w:val="26"/>
              </w:rPr>
              <w:t>688 442 783</w:t>
            </w:r>
          </w:p>
        </w:tc>
      </w:tr>
      <w:tr w:rsidR="00B016A1" w:rsidRPr="00B016A1" w14:paraId="51347CCC" w14:textId="77777777" w:rsidTr="00B016A1">
        <w:trPr>
          <w:trHeight w:val="619"/>
        </w:trPr>
        <w:tc>
          <w:tcPr>
            <w:tcW w:w="1008" w:type="dxa"/>
            <w:tcBorders>
              <w:top w:val="nil"/>
              <w:left w:val="nil"/>
              <w:bottom w:val="nil"/>
              <w:right w:val="nil"/>
            </w:tcBorders>
            <w:shd w:val="clear" w:color="auto" w:fill="auto"/>
            <w:noWrap/>
            <w:vAlign w:val="bottom"/>
            <w:hideMark/>
          </w:tcPr>
          <w:p w14:paraId="51347CC8"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bottom"/>
            <w:hideMark/>
          </w:tcPr>
          <w:p w14:paraId="51347CC9"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505001</w:t>
            </w:r>
          </w:p>
        </w:tc>
        <w:tc>
          <w:tcPr>
            <w:tcW w:w="5422" w:type="dxa"/>
            <w:tcBorders>
              <w:top w:val="nil"/>
              <w:left w:val="nil"/>
              <w:bottom w:val="nil"/>
              <w:right w:val="nil"/>
            </w:tcBorders>
            <w:shd w:val="clear" w:color="auto" w:fill="auto"/>
            <w:vAlign w:val="bottom"/>
            <w:hideMark/>
          </w:tcPr>
          <w:p w14:paraId="51347CCA" w14:textId="77777777" w:rsidR="00B016A1" w:rsidRPr="00B016A1" w:rsidRDefault="00B016A1" w:rsidP="0085383F">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Program státní podpory prof. divadel a stálých symfon.</w:t>
            </w:r>
            <w:r w:rsidR="0085383F">
              <w:rPr>
                <w:rFonts w:ascii="Times New Roman" w:hAnsi="Times New Roman"/>
                <w:b/>
                <w:bCs/>
                <w:color w:val="000000"/>
                <w:szCs w:val="24"/>
              </w:rPr>
              <w:t xml:space="preserve"> </w:t>
            </w:r>
            <w:r w:rsidRPr="00B016A1">
              <w:rPr>
                <w:rFonts w:ascii="Times New Roman" w:hAnsi="Times New Roman"/>
                <w:b/>
                <w:bCs/>
                <w:color w:val="000000"/>
                <w:szCs w:val="24"/>
              </w:rPr>
              <w:t>orchestrů a pěveckých sborů</w:t>
            </w:r>
          </w:p>
        </w:tc>
        <w:tc>
          <w:tcPr>
            <w:tcW w:w="1701" w:type="dxa"/>
            <w:tcBorders>
              <w:top w:val="nil"/>
              <w:left w:val="nil"/>
              <w:bottom w:val="nil"/>
              <w:right w:val="nil"/>
            </w:tcBorders>
            <w:shd w:val="clear" w:color="auto" w:fill="auto"/>
            <w:noWrap/>
            <w:vAlign w:val="bottom"/>
            <w:hideMark/>
          </w:tcPr>
          <w:p w14:paraId="51347CCB"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91 726 000</w:t>
            </w:r>
          </w:p>
        </w:tc>
      </w:tr>
      <w:tr w:rsidR="00B016A1" w:rsidRPr="00B016A1" w14:paraId="51347CD1" w14:textId="77777777" w:rsidTr="00B016A1">
        <w:trPr>
          <w:trHeight w:val="360"/>
        </w:trPr>
        <w:tc>
          <w:tcPr>
            <w:tcW w:w="1008" w:type="dxa"/>
            <w:tcBorders>
              <w:top w:val="nil"/>
              <w:left w:val="nil"/>
              <w:bottom w:val="nil"/>
              <w:right w:val="nil"/>
            </w:tcBorders>
            <w:shd w:val="clear" w:color="auto" w:fill="auto"/>
            <w:noWrap/>
            <w:vAlign w:val="center"/>
            <w:hideMark/>
          </w:tcPr>
          <w:p w14:paraId="51347CCD"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 xml:space="preserve">v tom: </w:t>
            </w:r>
          </w:p>
        </w:tc>
        <w:tc>
          <w:tcPr>
            <w:tcW w:w="1240" w:type="dxa"/>
            <w:tcBorders>
              <w:top w:val="nil"/>
              <w:left w:val="nil"/>
              <w:bottom w:val="nil"/>
              <w:right w:val="nil"/>
            </w:tcBorders>
            <w:shd w:val="clear" w:color="auto" w:fill="auto"/>
            <w:noWrap/>
            <w:vAlign w:val="center"/>
            <w:hideMark/>
          </w:tcPr>
          <w:p w14:paraId="51347CCE"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1100000</w:t>
            </w:r>
          </w:p>
        </w:tc>
        <w:tc>
          <w:tcPr>
            <w:tcW w:w="5422" w:type="dxa"/>
            <w:tcBorders>
              <w:top w:val="nil"/>
              <w:left w:val="nil"/>
              <w:bottom w:val="nil"/>
              <w:right w:val="nil"/>
            </w:tcBorders>
            <w:shd w:val="clear" w:color="auto" w:fill="auto"/>
            <w:noWrap/>
            <w:vAlign w:val="center"/>
            <w:hideMark/>
          </w:tcPr>
          <w:p w14:paraId="51347CCF"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zdroj SR - základní</w:t>
            </w:r>
          </w:p>
        </w:tc>
        <w:tc>
          <w:tcPr>
            <w:tcW w:w="1701" w:type="dxa"/>
            <w:tcBorders>
              <w:top w:val="nil"/>
              <w:left w:val="nil"/>
              <w:bottom w:val="nil"/>
              <w:right w:val="nil"/>
            </w:tcBorders>
            <w:shd w:val="clear" w:color="auto" w:fill="auto"/>
            <w:noWrap/>
            <w:vAlign w:val="center"/>
            <w:hideMark/>
          </w:tcPr>
          <w:p w14:paraId="51347CD0"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91 726 000</w:t>
            </w:r>
          </w:p>
        </w:tc>
      </w:tr>
      <w:tr w:rsidR="00B016A1" w:rsidRPr="00B016A1" w14:paraId="51347CD6"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CD2"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Paragraf</w:t>
            </w:r>
          </w:p>
        </w:tc>
        <w:tc>
          <w:tcPr>
            <w:tcW w:w="1240" w:type="dxa"/>
            <w:tcBorders>
              <w:top w:val="single" w:sz="4" w:space="0" w:color="auto"/>
              <w:left w:val="nil"/>
              <w:bottom w:val="nil"/>
              <w:right w:val="dashed" w:sz="4" w:space="0" w:color="auto"/>
            </w:tcBorders>
            <w:shd w:val="clear" w:color="auto" w:fill="auto"/>
            <w:vAlign w:val="center"/>
            <w:hideMark/>
          </w:tcPr>
          <w:p w14:paraId="51347CD3"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CD4"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CD5"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CDB"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CD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331100</w:t>
            </w:r>
          </w:p>
        </w:tc>
        <w:tc>
          <w:tcPr>
            <w:tcW w:w="1240" w:type="dxa"/>
            <w:tcBorders>
              <w:top w:val="dashed" w:sz="4" w:space="0" w:color="auto"/>
              <w:left w:val="nil"/>
              <w:bottom w:val="nil"/>
              <w:right w:val="dashed" w:sz="4" w:space="0" w:color="auto"/>
            </w:tcBorders>
            <w:shd w:val="clear" w:color="auto" w:fill="auto"/>
            <w:noWrap/>
            <w:vAlign w:val="center"/>
            <w:hideMark/>
          </w:tcPr>
          <w:p w14:paraId="51347CD8"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521</w:t>
            </w:r>
          </w:p>
        </w:tc>
        <w:tc>
          <w:tcPr>
            <w:tcW w:w="5422" w:type="dxa"/>
            <w:tcBorders>
              <w:top w:val="dashed" w:sz="4" w:space="0" w:color="auto"/>
              <w:left w:val="nil"/>
              <w:bottom w:val="nil"/>
              <w:right w:val="dashed" w:sz="4" w:space="0" w:color="auto"/>
            </w:tcBorders>
            <w:shd w:val="clear" w:color="auto" w:fill="auto"/>
            <w:noWrap/>
            <w:vAlign w:val="center"/>
            <w:hideMark/>
          </w:tcPr>
          <w:p w14:paraId="51347CD9"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podnikatelským subjektům</w:t>
            </w:r>
          </w:p>
        </w:tc>
        <w:tc>
          <w:tcPr>
            <w:tcW w:w="1701" w:type="dxa"/>
            <w:tcBorders>
              <w:top w:val="dashed" w:sz="4" w:space="0" w:color="auto"/>
              <w:left w:val="nil"/>
              <w:bottom w:val="nil"/>
              <w:right w:val="single" w:sz="4" w:space="0" w:color="auto"/>
            </w:tcBorders>
            <w:shd w:val="clear" w:color="auto" w:fill="auto"/>
            <w:noWrap/>
            <w:vAlign w:val="center"/>
            <w:hideMark/>
          </w:tcPr>
          <w:p w14:paraId="51347CDA"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2 000 000</w:t>
            </w:r>
          </w:p>
        </w:tc>
      </w:tr>
      <w:tr w:rsidR="00B016A1" w:rsidRPr="00B016A1" w14:paraId="51347CE0"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CDC"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331100</w:t>
            </w:r>
          </w:p>
        </w:tc>
        <w:tc>
          <w:tcPr>
            <w:tcW w:w="1240" w:type="dxa"/>
            <w:tcBorders>
              <w:top w:val="nil"/>
              <w:left w:val="nil"/>
              <w:bottom w:val="nil"/>
              <w:right w:val="dashed" w:sz="4" w:space="0" w:color="auto"/>
            </w:tcBorders>
            <w:shd w:val="clear" w:color="auto" w:fill="auto"/>
            <w:noWrap/>
            <w:vAlign w:val="center"/>
            <w:hideMark/>
          </w:tcPr>
          <w:p w14:paraId="51347CDD"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nil"/>
              <w:left w:val="nil"/>
              <w:bottom w:val="nil"/>
              <w:right w:val="dashed" w:sz="4" w:space="0" w:color="auto"/>
            </w:tcBorders>
            <w:shd w:val="clear" w:color="auto" w:fill="auto"/>
            <w:noWrap/>
            <w:vAlign w:val="center"/>
            <w:hideMark/>
          </w:tcPr>
          <w:p w14:paraId="51347CDE"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nil"/>
              <w:left w:val="nil"/>
              <w:bottom w:val="nil"/>
              <w:right w:val="single" w:sz="4" w:space="0" w:color="auto"/>
            </w:tcBorders>
            <w:shd w:val="clear" w:color="auto" w:fill="auto"/>
            <w:noWrap/>
            <w:vAlign w:val="center"/>
            <w:hideMark/>
          </w:tcPr>
          <w:p w14:paraId="51347CDF"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4 800 000</w:t>
            </w:r>
          </w:p>
        </w:tc>
      </w:tr>
      <w:tr w:rsidR="00B016A1" w:rsidRPr="00B016A1" w14:paraId="51347CE5"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CE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331100</w:t>
            </w:r>
          </w:p>
        </w:tc>
        <w:tc>
          <w:tcPr>
            <w:tcW w:w="1240" w:type="dxa"/>
            <w:tcBorders>
              <w:top w:val="nil"/>
              <w:left w:val="nil"/>
              <w:bottom w:val="dashed" w:sz="4" w:space="0" w:color="auto"/>
              <w:right w:val="dashed" w:sz="4" w:space="0" w:color="auto"/>
            </w:tcBorders>
            <w:shd w:val="clear" w:color="auto" w:fill="auto"/>
            <w:noWrap/>
            <w:vAlign w:val="center"/>
            <w:hideMark/>
          </w:tcPr>
          <w:p w14:paraId="51347CE2"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532</w:t>
            </w:r>
          </w:p>
        </w:tc>
        <w:tc>
          <w:tcPr>
            <w:tcW w:w="5422" w:type="dxa"/>
            <w:tcBorders>
              <w:top w:val="nil"/>
              <w:left w:val="nil"/>
              <w:bottom w:val="dashed" w:sz="4" w:space="0" w:color="auto"/>
              <w:right w:val="dashed" w:sz="4" w:space="0" w:color="auto"/>
            </w:tcBorders>
            <w:shd w:val="clear" w:color="auto" w:fill="auto"/>
            <w:noWrap/>
            <w:vAlign w:val="center"/>
            <w:hideMark/>
          </w:tcPr>
          <w:p w14:paraId="51347CE3"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veřejným rozpočtům územní úrovně</w:t>
            </w:r>
          </w:p>
        </w:tc>
        <w:tc>
          <w:tcPr>
            <w:tcW w:w="1701" w:type="dxa"/>
            <w:tcBorders>
              <w:top w:val="nil"/>
              <w:left w:val="nil"/>
              <w:bottom w:val="dashed" w:sz="4" w:space="0" w:color="auto"/>
              <w:right w:val="single" w:sz="4" w:space="0" w:color="auto"/>
            </w:tcBorders>
            <w:shd w:val="clear" w:color="auto" w:fill="auto"/>
            <w:noWrap/>
            <w:vAlign w:val="center"/>
            <w:hideMark/>
          </w:tcPr>
          <w:p w14:paraId="51347CE4"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65 526 000</w:t>
            </w:r>
          </w:p>
        </w:tc>
      </w:tr>
      <w:tr w:rsidR="00B016A1" w:rsidRPr="00B016A1" w14:paraId="51347CE9"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CE6"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331100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CE7"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Divadelní činnost</w:t>
            </w:r>
          </w:p>
        </w:tc>
        <w:tc>
          <w:tcPr>
            <w:tcW w:w="1701" w:type="dxa"/>
            <w:tcBorders>
              <w:top w:val="nil"/>
              <w:left w:val="nil"/>
              <w:bottom w:val="nil"/>
              <w:right w:val="single" w:sz="4" w:space="0" w:color="auto"/>
            </w:tcBorders>
            <w:shd w:val="clear" w:color="auto" w:fill="auto"/>
            <w:noWrap/>
            <w:vAlign w:val="center"/>
            <w:hideMark/>
          </w:tcPr>
          <w:p w14:paraId="51347CE8"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72 326 000</w:t>
            </w:r>
          </w:p>
        </w:tc>
      </w:tr>
      <w:tr w:rsidR="00B016A1" w:rsidRPr="00B016A1" w14:paraId="51347CEE"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CEA"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331200</w:t>
            </w:r>
          </w:p>
        </w:tc>
        <w:tc>
          <w:tcPr>
            <w:tcW w:w="1240" w:type="dxa"/>
            <w:tcBorders>
              <w:top w:val="nil"/>
              <w:left w:val="nil"/>
              <w:bottom w:val="nil"/>
              <w:right w:val="dashed" w:sz="4" w:space="0" w:color="auto"/>
            </w:tcBorders>
            <w:shd w:val="clear" w:color="auto" w:fill="auto"/>
            <w:noWrap/>
            <w:vAlign w:val="center"/>
            <w:hideMark/>
          </w:tcPr>
          <w:p w14:paraId="51347CEB"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nil"/>
              <w:left w:val="nil"/>
              <w:bottom w:val="nil"/>
              <w:right w:val="dashed" w:sz="4" w:space="0" w:color="auto"/>
            </w:tcBorders>
            <w:shd w:val="clear" w:color="auto" w:fill="auto"/>
            <w:noWrap/>
            <w:vAlign w:val="center"/>
            <w:hideMark/>
          </w:tcPr>
          <w:p w14:paraId="51347CEC"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dashed" w:sz="4" w:space="0" w:color="auto"/>
              <w:left w:val="nil"/>
              <w:bottom w:val="nil"/>
              <w:right w:val="single" w:sz="4" w:space="0" w:color="auto"/>
            </w:tcBorders>
            <w:shd w:val="clear" w:color="auto" w:fill="auto"/>
            <w:noWrap/>
            <w:vAlign w:val="center"/>
            <w:hideMark/>
          </w:tcPr>
          <w:p w14:paraId="51347CED"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10 300 000</w:t>
            </w:r>
          </w:p>
        </w:tc>
      </w:tr>
      <w:tr w:rsidR="00B016A1" w:rsidRPr="00B016A1" w14:paraId="51347CF3"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CEF"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331200</w:t>
            </w:r>
          </w:p>
        </w:tc>
        <w:tc>
          <w:tcPr>
            <w:tcW w:w="1240" w:type="dxa"/>
            <w:tcBorders>
              <w:top w:val="nil"/>
              <w:left w:val="nil"/>
              <w:bottom w:val="dashed" w:sz="4" w:space="0" w:color="auto"/>
              <w:right w:val="dashed" w:sz="4" w:space="0" w:color="auto"/>
            </w:tcBorders>
            <w:shd w:val="clear" w:color="auto" w:fill="auto"/>
            <w:noWrap/>
            <w:vAlign w:val="center"/>
            <w:hideMark/>
          </w:tcPr>
          <w:p w14:paraId="51347CF0"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532</w:t>
            </w:r>
          </w:p>
        </w:tc>
        <w:tc>
          <w:tcPr>
            <w:tcW w:w="5422" w:type="dxa"/>
            <w:tcBorders>
              <w:top w:val="nil"/>
              <w:left w:val="nil"/>
              <w:bottom w:val="dashed" w:sz="4" w:space="0" w:color="auto"/>
              <w:right w:val="dashed" w:sz="4" w:space="0" w:color="auto"/>
            </w:tcBorders>
            <w:shd w:val="clear" w:color="auto" w:fill="auto"/>
            <w:noWrap/>
            <w:vAlign w:val="center"/>
            <w:hideMark/>
          </w:tcPr>
          <w:p w14:paraId="51347CF1"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veřejným rozpočtům územní úrovně</w:t>
            </w:r>
          </w:p>
        </w:tc>
        <w:tc>
          <w:tcPr>
            <w:tcW w:w="1701" w:type="dxa"/>
            <w:tcBorders>
              <w:top w:val="nil"/>
              <w:left w:val="nil"/>
              <w:bottom w:val="dashed" w:sz="4" w:space="0" w:color="auto"/>
              <w:right w:val="single" w:sz="4" w:space="0" w:color="auto"/>
            </w:tcBorders>
            <w:shd w:val="clear" w:color="auto" w:fill="auto"/>
            <w:noWrap/>
            <w:vAlign w:val="center"/>
            <w:hideMark/>
          </w:tcPr>
          <w:p w14:paraId="51347CF2"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9 100 000</w:t>
            </w:r>
          </w:p>
        </w:tc>
      </w:tr>
      <w:tr w:rsidR="00B016A1" w:rsidRPr="00B016A1" w14:paraId="51347CF7" w14:textId="77777777" w:rsidTr="00B016A1">
        <w:trPr>
          <w:trHeight w:val="360"/>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CF4"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331200</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CF5"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Hudební činnost</w:t>
            </w:r>
          </w:p>
        </w:tc>
        <w:tc>
          <w:tcPr>
            <w:tcW w:w="1701" w:type="dxa"/>
            <w:tcBorders>
              <w:top w:val="nil"/>
              <w:left w:val="nil"/>
              <w:bottom w:val="single" w:sz="4" w:space="0" w:color="auto"/>
              <w:right w:val="single" w:sz="4" w:space="0" w:color="auto"/>
            </w:tcBorders>
            <w:shd w:val="clear" w:color="auto" w:fill="auto"/>
            <w:noWrap/>
            <w:vAlign w:val="center"/>
            <w:hideMark/>
          </w:tcPr>
          <w:p w14:paraId="51347CF6"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19 400 000</w:t>
            </w:r>
          </w:p>
        </w:tc>
      </w:tr>
      <w:tr w:rsidR="00B016A1" w:rsidRPr="00B016A1" w14:paraId="51347CFC" w14:textId="77777777" w:rsidTr="00B016A1">
        <w:trPr>
          <w:trHeight w:val="619"/>
        </w:trPr>
        <w:tc>
          <w:tcPr>
            <w:tcW w:w="1008" w:type="dxa"/>
            <w:tcBorders>
              <w:top w:val="nil"/>
              <w:left w:val="nil"/>
              <w:bottom w:val="nil"/>
              <w:right w:val="nil"/>
            </w:tcBorders>
            <w:shd w:val="clear" w:color="auto" w:fill="auto"/>
            <w:noWrap/>
            <w:vAlign w:val="bottom"/>
            <w:hideMark/>
          </w:tcPr>
          <w:p w14:paraId="51347CF8"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bottom"/>
            <w:hideMark/>
          </w:tcPr>
          <w:p w14:paraId="51347CF9"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505002</w:t>
            </w:r>
          </w:p>
        </w:tc>
        <w:tc>
          <w:tcPr>
            <w:tcW w:w="5422" w:type="dxa"/>
            <w:tcBorders>
              <w:top w:val="nil"/>
              <w:left w:val="nil"/>
              <w:bottom w:val="nil"/>
              <w:right w:val="nil"/>
            </w:tcBorders>
            <w:shd w:val="clear" w:color="auto" w:fill="auto"/>
            <w:noWrap/>
            <w:vAlign w:val="bottom"/>
            <w:hideMark/>
          </w:tcPr>
          <w:p w14:paraId="51347CFA"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Kulturní aktivity</w:t>
            </w:r>
          </w:p>
        </w:tc>
        <w:tc>
          <w:tcPr>
            <w:tcW w:w="1701" w:type="dxa"/>
            <w:tcBorders>
              <w:top w:val="nil"/>
              <w:left w:val="nil"/>
              <w:bottom w:val="nil"/>
              <w:right w:val="nil"/>
            </w:tcBorders>
            <w:shd w:val="clear" w:color="auto" w:fill="auto"/>
            <w:noWrap/>
            <w:vAlign w:val="bottom"/>
            <w:hideMark/>
          </w:tcPr>
          <w:p w14:paraId="51347CFB"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536 716 783</w:t>
            </w:r>
          </w:p>
        </w:tc>
      </w:tr>
      <w:tr w:rsidR="00B016A1" w:rsidRPr="00B016A1" w14:paraId="51347D01" w14:textId="77777777" w:rsidTr="00B016A1">
        <w:trPr>
          <w:trHeight w:val="360"/>
        </w:trPr>
        <w:tc>
          <w:tcPr>
            <w:tcW w:w="1008" w:type="dxa"/>
            <w:tcBorders>
              <w:top w:val="nil"/>
              <w:left w:val="nil"/>
              <w:bottom w:val="nil"/>
              <w:right w:val="nil"/>
            </w:tcBorders>
            <w:shd w:val="clear" w:color="auto" w:fill="auto"/>
            <w:noWrap/>
            <w:vAlign w:val="center"/>
            <w:hideMark/>
          </w:tcPr>
          <w:p w14:paraId="51347CFD"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 xml:space="preserve">v tom: </w:t>
            </w:r>
          </w:p>
        </w:tc>
        <w:tc>
          <w:tcPr>
            <w:tcW w:w="1240" w:type="dxa"/>
            <w:tcBorders>
              <w:top w:val="nil"/>
              <w:left w:val="nil"/>
              <w:bottom w:val="nil"/>
              <w:right w:val="nil"/>
            </w:tcBorders>
            <w:shd w:val="clear" w:color="auto" w:fill="auto"/>
            <w:noWrap/>
            <w:vAlign w:val="center"/>
            <w:hideMark/>
          </w:tcPr>
          <w:p w14:paraId="51347CFE"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1100000</w:t>
            </w:r>
          </w:p>
        </w:tc>
        <w:tc>
          <w:tcPr>
            <w:tcW w:w="5422" w:type="dxa"/>
            <w:tcBorders>
              <w:top w:val="nil"/>
              <w:left w:val="nil"/>
              <w:bottom w:val="nil"/>
              <w:right w:val="nil"/>
            </w:tcBorders>
            <w:shd w:val="clear" w:color="auto" w:fill="auto"/>
            <w:noWrap/>
            <w:vAlign w:val="center"/>
            <w:hideMark/>
          </w:tcPr>
          <w:p w14:paraId="51347CFF"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zdroj SR - základní</w:t>
            </w:r>
          </w:p>
        </w:tc>
        <w:tc>
          <w:tcPr>
            <w:tcW w:w="1701" w:type="dxa"/>
            <w:tcBorders>
              <w:top w:val="nil"/>
              <w:left w:val="nil"/>
              <w:bottom w:val="nil"/>
              <w:right w:val="nil"/>
            </w:tcBorders>
            <w:shd w:val="clear" w:color="auto" w:fill="auto"/>
            <w:noWrap/>
            <w:vAlign w:val="center"/>
            <w:hideMark/>
          </w:tcPr>
          <w:p w14:paraId="51347D00"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536 716 783</w:t>
            </w:r>
          </w:p>
        </w:tc>
      </w:tr>
      <w:tr w:rsidR="00B016A1" w:rsidRPr="00B016A1" w14:paraId="51347D06"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D02"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lastRenderedPageBreak/>
              <w:t>Paragraf</w:t>
            </w:r>
          </w:p>
        </w:tc>
        <w:tc>
          <w:tcPr>
            <w:tcW w:w="1240" w:type="dxa"/>
            <w:tcBorders>
              <w:top w:val="single" w:sz="4" w:space="0" w:color="auto"/>
              <w:left w:val="nil"/>
              <w:bottom w:val="nil"/>
              <w:right w:val="dashed" w:sz="4" w:space="0" w:color="auto"/>
            </w:tcBorders>
            <w:shd w:val="clear" w:color="auto" w:fill="auto"/>
            <w:vAlign w:val="center"/>
            <w:hideMark/>
          </w:tcPr>
          <w:p w14:paraId="51347D03"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D04"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D05"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D0B"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D0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331100</w:t>
            </w:r>
          </w:p>
        </w:tc>
        <w:tc>
          <w:tcPr>
            <w:tcW w:w="1240" w:type="dxa"/>
            <w:tcBorders>
              <w:top w:val="dashed" w:sz="4" w:space="0" w:color="auto"/>
              <w:left w:val="nil"/>
              <w:bottom w:val="nil"/>
              <w:right w:val="dashed" w:sz="4" w:space="0" w:color="auto"/>
            </w:tcBorders>
            <w:shd w:val="clear" w:color="auto" w:fill="auto"/>
            <w:noWrap/>
            <w:vAlign w:val="center"/>
            <w:hideMark/>
          </w:tcPr>
          <w:p w14:paraId="51347D08"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521</w:t>
            </w:r>
          </w:p>
        </w:tc>
        <w:tc>
          <w:tcPr>
            <w:tcW w:w="5422" w:type="dxa"/>
            <w:tcBorders>
              <w:top w:val="dashed" w:sz="4" w:space="0" w:color="auto"/>
              <w:left w:val="nil"/>
              <w:bottom w:val="nil"/>
              <w:right w:val="dashed" w:sz="4" w:space="0" w:color="auto"/>
            </w:tcBorders>
            <w:shd w:val="clear" w:color="auto" w:fill="auto"/>
            <w:noWrap/>
            <w:vAlign w:val="center"/>
            <w:hideMark/>
          </w:tcPr>
          <w:p w14:paraId="51347D09"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podnikatelským subjektům</w:t>
            </w:r>
          </w:p>
        </w:tc>
        <w:tc>
          <w:tcPr>
            <w:tcW w:w="1701" w:type="dxa"/>
            <w:tcBorders>
              <w:top w:val="dashed" w:sz="4" w:space="0" w:color="auto"/>
              <w:left w:val="nil"/>
              <w:bottom w:val="nil"/>
              <w:right w:val="single" w:sz="4" w:space="0" w:color="auto"/>
            </w:tcBorders>
            <w:shd w:val="clear" w:color="auto" w:fill="auto"/>
            <w:noWrap/>
            <w:vAlign w:val="center"/>
            <w:hideMark/>
          </w:tcPr>
          <w:p w14:paraId="51347D0A"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1 127 000</w:t>
            </w:r>
          </w:p>
        </w:tc>
      </w:tr>
      <w:tr w:rsidR="00B016A1" w:rsidRPr="00B016A1" w14:paraId="51347D10"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0C"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331100</w:t>
            </w:r>
          </w:p>
        </w:tc>
        <w:tc>
          <w:tcPr>
            <w:tcW w:w="1240" w:type="dxa"/>
            <w:tcBorders>
              <w:top w:val="nil"/>
              <w:left w:val="nil"/>
              <w:bottom w:val="nil"/>
              <w:right w:val="dashed" w:sz="4" w:space="0" w:color="auto"/>
            </w:tcBorders>
            <w:shd w:val="clear" w:color="auto" w:fill="auto"/>
            <w:noWrap/>
            <w:vAlign w:val="center"/>
            <w:hideMark/>
          </w:tcPr>
          <w:p w14:paraId="51347D0D"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nil"/>
              <w:left w:val="nil"/>
              <w:bottom w:val="nil"/>
              <w:right w:val="dashed" w:sz="4" w:space="0" w:color="auto"/>
            </w:tcBorders>
            <w:shd w:val="clear" w:color="auto" w:fill="auto"/>
            <w:noWrap/>
            <w:vAlign w:val="center"/>
            <w:hideMark/>
          </w:tcPr>
          <w:p w14:paraId="51347D0E"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nil"/>
              <w:left w:val="nil"/>
              <w:bottom w:val="nil"/>
              <w:right w:val="single" w:sz="4" w:space="0" w:color="auto"/>
            </w:tcBorders>
            <w:shd w:val="clear" w:color="auto" w:fill="auto"/>
            <w:noWrap/>
            <w:vAlign w:val="center"/>
            <w:hideMark/>
          </w:tcPr>
          <w:p w14:paraId="51347D0F"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28 035 000</w:t>
            </w:r>
          </w:p>
        </w:tc>
      </w:tr>
      <w:tr w:rsidR="00B016A1" w:rsidRPr="00B016A1" w14:paraId="51347D15"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D1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331100</w:t>
            </w:r>
          </w:p>
        </w:tc>
        <w:tc>
          <w:tcPr>
            <w:tcW w:w="1240" w:type="dxa"/>
            <w:tcBorders>
              <w:top w:val="nil"/>
              <w:left w:val="nil"/>
              <w:bottom w:val="dashed" w:sz="4" w:space="0" w:color="auto"/>
              <w:right w:val="dashed" w:sz="4" w:space="0" w:color="auto"/>
            </w:tcBorders>
            <w:shd w:val="clear" w:color="auto" w:fill="auto"/>
            <w:noWrap/>
            <w:vAlign w:val="center"/>
            <w:hideMark/>
          </w:tcPr>
          <w:p w14:paraId="51347D12"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532</w:t>
            </w:r>
          </w:p>
        </w:tc>
        <w:tc>
          <w:tcPr>
            <w:tcW w:w="5422" w:type="dxa"/>
            <w:tcBorders>
              <w:top w:val="nil"/>
              <w:left w:val="nil"/>
              <w:bottom w:val="dashed" w:sz="4" w:space="0" w:color="auto"/>
              <w:right w:val="dashed" w:sz="4" w:space="0" w:color="auto"/>
            </w:tcBorders>
            <w:shd w:val="clear" w:color="auto" w:fill="auto"/>
            <w:noWrap/>
            <w:vAlign w:val="center"/>
            <w:hideMark/>
          </w:tcPr>
          <w:p w14:paraId="51347D13"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veřejným rozpočtům územní úrovně</w:t>
            </w:r>
          </w:p>
        </w:tc>
        <w:tc>
          <w:tcPr>
            <w:tcW w:w="1701" w:type="dxa"/>
            <w:tcBorders>
              <w:top w:val="nil"/>
              <w:left w:val="nil"/>
              <w:bottom w:val="dashed" w:sz="4" w:space="0" w:color="auto"/>
              <w:right w:val="single" w:sz="4" w:space="0" w:color="auto"/>
            </w:tcBorders>
            <w:shd w:val="clear" w:color="auto" w:fill="auto"/>
            <w:noWrap/>
            <w:vAlign w:val="center"/>
            <w:hideMark/>
          </w:tcPr>
          <w:p w14:paraId="51347D14"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1 508 000</w:t>
            </w:r>
          </w:p>
        </w:tc>
      </w:tr>
      <w:tr w:rsidR="00B016A1" w:rsidRPr="00B016A1" w14:paraId="51347D19"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16"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331100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D17"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Divadelní činnost</w:t>
            </w:r>
          </w:p>
        </w:tc>
        <w:tc>
          <w:tcPr>
            <w:tcW w:w="1701" w:type="dxa"/>
            <w:tcBorders>
              <w:top w:val="nil"/>
              <w:left w:val="nil"/>
              <w:bottom w:val="nil"/>
              <w:right w:val="single" w:sz="4" w:space="0" w:color="auto"/>
            </w:tcBorders>
            <w:shd w:val="clear" w:color="auto" w:fill="auto"/>
            <w:noWrap/>
            <w:vAlign w:val="center"/>
            <w:hideMark/>
          </w:tcPr>
          <w:p w14:paraId="51347D18"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30 670 000</w:t>
            </w:r>
          </w:p>
        </w:tc>
      </w:tr>
      <w:tr w:rsidR="00B016A1" w:rsidRPr="00B016A1" w14:paraId="51347D1E"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D1A"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331200</w:t>
            </w:r>
          </w:p>
        </w:tc>
        <w:tc>
          <w:tcPr>
            <w:tcW w:w="1240" w:type="dxa"/>
            <w:tcBorders>
              <w:top w:val="nil"/>
              <w:left w:val="nil"/>
              <w:bottom w:val="nil"/>
              <w:right w:val="dashed" w:sz="4" w:space="0" w:color="auto"/>
            </w:tcBorders>
            <w:shd w:val="clear" w:color="auto" w:fill="auto"/>
            <w:noWrap/>
            <w:vAlign w:val="center"/>
            <w:hideMark/>
          </w:tcPr>
          <w:p w14:paraId="51347D1B"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521</w:t>
            </w:r>
          </w:p>
        </w:tc>
        <w:tc>
          <w:tcPr>
            <w:tcW w:w="5422" w:type="dxa"/>
            <w:tcBorders>
              <w:top w:val="nil"/>
              <w:left w:val="nil"/>
              <w:bottom w:val="nil"/>
              <w:right w:val="dashed" w:sz="4" w:space="0" w:color="auto"/>
            </w:tcBorders>
            <w:shd w:val="clear" w:color="auto" w:fill="auto"/>
            <w:noWrap/>
            <w:vAlign w:val="center"/>
            <w:hideMark/>
          </w:tcPr>
          <w:p w14:paraId="51347D1C"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podnikatelským subjektům</w:t>
            </w:r>
          </w:p>
        </w:tc>
        <w:tc>
          <w:tcPr>
            <w:tcW w:w="1701" w:type="dxa"/>
            <w:tcBorders>
              <w:top w:val="dashed" w:sz="4" w:space="0" w:color="auto"/>
              <w:left w:val="nil"/>
              <w:bottom w:val="nil"/>
              <w:right w:val="single" w:sz="4" w:space="0" w:color="auto"/>
            </w:tcBorders>
            <w:shd w:val="clear" w:color="auto" w:fill="auto"/>
            <w:noWrap/>
            <w:vAlign w:val="center"/>
            <w:hideMark/>
          </w:tcPr>
          <w:p w14:paraId="51347D1D"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12 128 000</w:t>
            </w:r>
          </w:p>
        </w:tc>
      </w:tr>
      <w:tr w:rsidR="00B016A1" w:rsidRPr="00B016A1" w14:paraId="51347D23"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1F"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331200</w:t>
            </w:r>
          </w:p>
        </w:tc>
        <w:tc>
          <w:tcPr>
            <w:tcW w:w="1240" w:type="dxa"/>
            <w:tcBorders>
              <w:top w:val="nil"/>
              <w:left w:val="nil"/>
              <w:bottom w:val="nil"/>
              <w:right w:val="dashed" w:sz="4" w:space="0" w:color="auto"/>
            </w:tcBorders>
            <w:shd w:val="clear" w:color="auto" w:fill="auto"/>
            <w:noWrap/>
            <w:vAlign w:val="center"/>
            <w:hideMark/>
          </w:tcPr>
          <w:p w14:paraId="51347D20"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nil"/>
              <w:left w:val="nil"/>
              <w:bottom w:val="nil"/>
              <w:right w:val="dashed" w:sz="4" w:space="0" w:color="auto"/>
            </w:tcBorders>
            <w:shd w:val="clear" w:color="auto" w:fill="auto"/>
            <w:noWrap/>
            <w:vAlign w:val="center"/>
            <w:hideMark/>
          </w:tcPr>
          <w:p w14:paraId="51347D21"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nil"/>
              <w:left w:val="nil"/>
              <w:bottom w:val="nil"/>
              <w:right w:val="single" w:sz="4" w:space="0" w:color="auto"/>
            </w:tcBorders>
            <w:shd w:val="clear" w:color="auto" w:fill="auto"/>
            <w:noWrap/>
            <w:vAlign w:val="center"/>
            <w:hideMark/>
          </w:tcPr>
          <w:p w14:paraId="51347D22"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82 110 000</w:t>
            </w:r>
          </w:p>
        </w:tc>
      </w:tr>
      <w:tr w:rsidR="00B016A1" w:rsidRPr="00B016A1" w14:paraId="51347D28"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24"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331200</w:t>
            </w:r>
          </w:p>
        </w:tc>
        <w:tc>
          <w:tcPr>
            <w:tcW w:w="1240" w:type="dxa"/>
            <w:tcBorders>
              <w:top w:val="nil"/>
              <w:left w:val="nil"/>
              <w:bottom w:val="nil"/>
              <w:right w:val="dashed" w:sz="4" w:space="0" w:color="auto"/>
            </w:tcBorders>
            <w:shd w:val="clear" w:color="auto" w:fill="auto"/>
            <w:noWrap/>
            <w:vAlign w:val="center"/>
            <w:hideMark/>
          </w:tcPr>
          <w:p w14:paraId="51347D25"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532</w:t>
            </w:r>
          </w:p>
        </w:tc>
        <w:tc>
          <w:tcPr>
            <w:tcW w:w="5422" w:type="dxa"/>
            <w:tcBorders>
              <w:top w:val="nil"/>
              <w:left w:val="nil"/>
              <w:bottom w:val="nil"/>
              <w:right w:val="dashed" w:sz="4" w:space="0" w:color="auto"/>
            </w:tcBorders>
            <w:shd w:val="clear" w:color="auto" w:fill="auto"/>
            <w:noWrap/>
            <w:vAlign w:val="center"/>
            <w:hideMark/>
          </w:tcPr>
          <w:p w14:paraId="51347D26"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veřejným rozpočtům územní úrovně</w:t>
            </w:r>
          </w:p>
        </w:tc>
        <w:tc>
          <w:tcPr>
            <w:tcW w:w="1701" w:type="dxa"/>
            <w:tcBorders>
              <w:top w:val="nil"/>
              <w:left w:val="nil"/>
              <w:bottom w:val="nil"/>
              <w:right w:val="single" w:sz="4" w:space="0" w:color="auto"/>
            </w:tcBorders>
            <w:shd w:val="clear" w:color="auto" w:fill="auto"/>
            <w:noWrap/>
            <w:vAlign w:val="center"/>
            <w:hideMark/>
          </w:tcPr>
          <w:p w14:paraId="51347D27"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2 395 000</w:t>
            </w:r>
          </w:p>
        </w:tc>
      </w:tr>
      <w:tr w:rsidR="00B016A1" w:rsidRPr="00B016A1" w14:paraId="51347D2D"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D29"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331200</w:t>
            </w:r>
          </w:p>
        </w:tc>
        <w:tc>
          <w:tcPr>
            <w:tcW w:w="1240" w:type="dxa"/>
            <w:tcBorders>
              <w:top w:val="nil"/>
              <w:left w:val="nil"/>
              <w:bottom w:val="dashed" w:sz="4" w:space="0" w:color="auto"/>
              <w:right w:val="dashed" w:sz="4" w:space="0" w:color="auto"/>
            </w:tcBorders>
            <w:shd w:val="clear" w:color="auto" w:fill="auto"/>
            <w:noWrap/>
            <w:vAlign w:val="center"/>
            <w:hideMark/>
          </w:tcPr>
          <w:p w14:paraId="51347D2A"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dashed" w:sz="4" w:space="0" w:color="auto"/>
              <w:right w:val="dashed" w:sz="4" w:space="0" w:color="auto"/>
            </w:tcBorders>
            <w:shd w:val="clear" w:color="auto" w:fill="auto"/>
            <w:noWrap/>
            <w:vAlign w:val="center"/>
            <w:hideMark/>
          </w:tcPr>
          <w:p w14:paraId="51347D2B"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nil"/>
              <w:left w:val="nil"/>
              <w:bottom w:val="dashed" w:sz="4" w:space="0" w:color="auto"/>
              <w:right w:val="single" w:sz="4" w:space="0" w:color="auto"/>
            </w:tcBorders>
            <w:shd w:val="clear" w:color="auto" w:fill="auto"/>
            <w:noWrap/>
            <w:vAlign w:val="center"/>
            <w:hideMark/>
          </w:tcPr>
          <w:p w14:paraId="51347D2C"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106 000</w:t>
            </w:r>
          </w:p>
        </w:tc>
      </w:tr>
      <w:tr w:rsidR="00B016A1" w:rsidRPr="00B016A1" w14:paraId="51347D31"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2E"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331200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D2F"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Hudební činnost</w:t>
            </w:r>
          </w:p>
        </w:tc>
        <w:tc>
          <w:tcPr>
            <w:tcW w:w="1701" w:type="dxa"/>
            <w:tcBorders>
              <w:top w:val="nil"/>
              <w:left w:val="nil"/>
              <w:bottom w:val="nil"/>
              <w:right w:val="single" w:sz="4" w:space="0" w:color="auto"/>
            </w:tcBorders>
            <w:shd w:val="clear" w:color="auto" w:fill="auto"/>
            <w:noWrap/>
            <w:vAlign w:val="center"/>
            <w:hideMark/>
          </w:tcPr>
          <w:p w14:paraId="51347D30"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96 739 000</w:t>
            </w:r>
          </w:p>
        </w:tc>
      </w:tr>
      <w:tr w:rsidR="00B016A1" w:rsidRPr="00B016A1" w14:paraId="51347D36"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D32"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331400</w:t>
            </w:r>
          </w:p>
        </w:tc>
        <w:tc>
          <w:tcPr>
            <w:tcW w:w="1240" w:type="dxa"/>
            <w:tcBorders>
              <w:top w:val="nil"/>
              <w:left w:val="nil"/>
              <w:bottom w:val="nil"/>
              <w:right w:val="dashed" w:sz="4" w:space="0" w:color="auto"/>
            </w:tcBorders>
            <w:shd w:val="clear" w:color="auto" w:fill="auto"/>
            <w:noWrap/>
            <w:vAlign w:val="center"/>
            <w:hideMark/>
          </w:tcPr>
          <w:p w14:paraId="51347D33"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nil"/>
              <w:left w:val="nil"/>
              <w:bottom w:val="nil"/>
              <w:right w:val="dashed" w:sz="4" w:space="0" w:color="auto"/>
            </w:tcBorders>
            <w:shd w:val="clear" w:color="auto" w:fill="auto"/>
            <w:noWrap/>
            <w:vAlign w:val="center"/>
            <w:hideMark/>
          </w:tcPr>
          <w:p w14:paraId="51347D34"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dashed" w:sz="4" w:space="0" w:color="auto"/>
              <w:left w:val="nil"/>
              <w:bottom w:val="nil"/>
              <w:right w:val="single" w:sz="4" w:space="0" w:color="auto"/>
            </w:tcBorders>
            <w:shd w:val="clear" w:color="auto" w:fill="auto"/>
            <w:noWrap/>
            <w:vAlign w:val="center"/>
            <w:hideMark/>
          </w:tcPr>
          <w:p w14:paraId="51347D35"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650 000</w:t>
            </w:r>
          </w:p>
        </w:tc>
      </w:tr>
      <w:tr w:rsidR="00B016A1" w:rsidRPr="00B016A1" w14:paraId="51347D3B"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3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331400</w:t>
            </w:r>
          </w:p>
        </w:tc>
        <w:tc>
          <w:tcPr>
            <w:tcW w:w="1240" w:type="dxa"/>
            <w:tcBorders>
              <w:top w:val="nil"/>
              <w:left w:val="nil"/>
              <w:bottom w:val="nil"/>
              <w:right w:val="dashed" w:sz="4" w:space="0" w:color="auto"/>
            </w:tcBorders>
            <w:shd w:val="clear" w:color="auto" w:fill="auto"/>
            <w:noWrap/>
            <w:vAlign w:val="center"/>
            <w:hideMark/>
          </w:tcPr>
          <w:p w14:paraId="51347D38"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532</w:t>
            </w:r>
          </w:p>
        </w:tc>
        <w:tc>
          <w:tcPr>
            <w:tcW w:w="5422" w:type="dxa"/>
            <w:tcBorders>
              <w:top w:val="nil"/>
              <w:left w:val="nil"/>
              <w:bottom w:val="nil"/>
              <w:right w:val="dashed" w:sz="4" w:space="0" w:color="auto"/>
            </w:tcBorders>
            <w:shd w:val="clear" w:color="auto" w:fill="auto"/>
            <w:noWrap/>
            <w:vAlign w:val="center"/>
            <w:hideMark/>
          </w:tcPr>
          <w:p w14:paraId="51347D39"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veřejným rozpočtům územní úrovně</w:t>
            </w:r>
          </w:p>
        </w:tc>
        <w:tc>
          <w:tcPr>
            <w:tcW w:w="1701" w:type="dxa"/>
            <w:tcBorders>
              <w:top w:val="nil"/>
              <w:left w:val="nil"/>
              <w:bottom w:val="nil"/>
              <w:right w:val="single" w:sz="4" w:space="0" w:color="auto"/>
            </w:tcBorders>
            <w:shd w:val="clear" w:color="auto" w:fill="auto"/>
            <w:noWrap/>
            <w:vAlign w:val="center"/>
            <w:hideMark/>
          </w:tcPr>
          <w:p w14:paraId="51347D3A"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1 750 000</w:t>
            </w:r>
          </w:p>
        </w:tc>
      </w:tr>
      <w:tr w:rsidR="00B016A1" w:rsidRPr="00B016A1" w14:paraId="51347D40"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D3C"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331400</w:t>
            </w:r>
          </w:p>
        </w:tc>
        <w:tc>
          <w:tcPr>
            <w:tcW w:w="1240" w:type="dxa"/>
            <w:tcBorders>
              <w:top w:val="nil"/>
              <w:left w:val="nil"/>
              <w:bottom w:val="dashed" w:sz="4" w:space="0" w:color="auto"/>
              <w:right w:val="dashed" w:sz="4" w:space="0" w:color="auto"/>
            </w:tcBorders>
            <w:shd w:val="clear" w:color="auto" w:fill="auto"/>
            <w:noWrap/>
            <w:vAlign w:val="center"/>
            <w:hideMark/>
          </w:tcPr>
          <w:p w14:paraId="51347D3D"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dashed" w:sz="4" w:space="0" w:color="auto"/>
              <w:right w:val="dashed" w:sz="4" w:space="0" w:color="auto"/>
            </w:tcBorders>
            <w:shd w:val="clear" w:color="auto" w:fill="auto"/>
            <w:noWrap/>
            <w:vAlign w:val="center"/>
            <w:hideMark/>
          </w:tcPr>
          <w:p w14:paraId="51347D3E"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nil"/>
              <w:left w:val="nil"/>
              <w:bottom w:val="dashed" w:sz="4" w:space="0" w:color="auto"/>
              <w:right w:val="single" w:sz="4" w:space="0" w:color="auto"/>
            </w:tcBorders>
            <w:shd w:val="clear" w:color="auto" w:fill="auto"/>
            <w:noWrap/>
            <w:vAlign w:val="center"/>
            <w:hideMark/>
          </w:tcPr>
          <w:p w14:paraId="51347D3F"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4 500 000</w:t>
            </w:r>
          </w:p>
        </w:tc>
      </w:tr>
      <w:tr w:rsidR="00B016A1" w:rsidRPr="00B016A1" w14:paraId="51347D44"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41"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331400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D42"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Činnosti knihovnické</w:t>
            </w:r>
          </w:p>
        </w:tc>
        <w:tc>
          <w:tcPr>
            <w:tcW w:w="1701" w:type="dxa"/>
            <w:tcBorders>
              <w:top w:val="nil"/>
              <w:left w:val="nil"/>
              <w:bottom w:val="nil"/>
              <w:right w:val="single" w:sz="4" w:space="0" w:color="auto"/>
            </w:tcBorders>
            <w:shd w:val="clear" w:color="auto" w:fill="auto"/>
            <w:noWrap/>
            <w:vAlign w:val="center"/>
            <w:hideMark/>
          </w:tcPr>
          <w:p w14:paraId="51347D43"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6 900 000</w:t>
            </w:r>
          </w:p>
        </w:tc>
      </w:tr>
      <w:tr w:rsidR="00B016A1" w:rsidRPr="00B016A1" w14:paraId="51347D49"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D45"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331500</w:t>
            </w:r>
          </w:p>
        </w:tc>
        <w:tc>
          <w:tcPr>
            <w:tcW w:w="1240" w:type="dxa"/>
            <w:tcBorders>
              <w:top w:val="nil"/>
              <w:left w:val="nil"/>
              <w:bottom w:val="dashed" w:sz="4" w:space="0" w:color="auto"/>
              <w:right w:val="dashed" w:sz="4" w:space="0" w:color="auto"/>
            </w:tcBorders>
            <w:shd w:val="clear" w:color="auto" w:fill="auto"/>
            <w:noWrap/>
            <w:vAlign w:val="center"/>
            <w:hideMark/>
          </w:tcPr>
          <w:p w14:paraId="51347D46"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dashed" w:sz="4" w:space="0" w:color="auto"/>
              <w:right w:val="dashed" w:sz="4" w:space="0" w:color="auto"/>
            </w:tcBorders>
            <w:shd w:val="clear" w:color="auto" w:fill="auto"/>
            <w:noWrap/>
            <w:vAlign w:val="center"/>
            <w:hideMark/>
          </w:tcPr>
          <w:p w14:paraId="51347D47"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D48"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30 154 000</w:t>
            </w:r>
          </w:p>
        </w:tc>
      </w:tr>
      <w:tr w:rsidR="00B016A1" w:rsidRPr="00B016A1" w14:paraId="51347D4D"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4A"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331500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D4B"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Činnosti muzeí a galerií</w:t>
            </w:r>
          </w:p>
        </w:tc>
        <w:tc>
          <w:tcPr>
            <w:tcW w:w="1701" w:type="dxa"/>
            <w:tcBorders>
              <w:top w:val="nil"/>
              <w:left w:val="nil"/>
              <w:bottom w:val="nil"/>
              <w:right w:val="single" w:sz="4" w:space="0" w:color="auto"/>
            </w:tcBorders>
            <w:shd w:val="clear" w:color="auto" w:fill="auto"/>
            <w:noWrap/>
            <w:vAlign w:val="center"/>
            <w:hideMark/>
          </w:tcPr>
          <w:p w14:paraId="51347D4C"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30 154 000</w:t>
            </w:r>
          </w:p>
        </w:tc>
      </w:tr>
      <w:tr w:rsidR="00B016A1" w:rsidRPr="00B016A1" w14:paraId="51347D52"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D4E"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331600</w:t>
            </w:r>
          </w:p>
        </w:tc>
        <w:tc>
          <w:tcPr>
            <w:tcW w:w="1240" w:type="dxa"/>
            <w:tcBorders>
              <w:top w:val="nil"/>
              <w:left w:val="nil"/>
              <w:bottom w:val="nil"/>
              <w:right w:val="dashed" w:sz="4" w:space="0" w:color="auto"/>
            </w:tcBorders>
            <w:shd w:val="clear" w:color="auto" w:fill="auto"/>
            <w:noWrap/>
            <w:vAlign w:val="center"/>
            <w:hideMark/>
          </w:tcPr>
          <w:p w14:paraId="51347D4F"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521</w:t>
            </w:r>
          </w:p>
        </w:tc>
        <w:tc>
          <w:tcPr>
            <w:tcW w:w="5422" w:type="dxa"/>
            <w:tcBorders>
              <w:top w:val="nil"/>
              <w:left w:val="nil"/>
              <w:bottom w:val="nil"/>
              <w:right w:val="dashed" w:sz="4" w:space="0" w:color="auto"/>
            </w:tcBorders>
            <w:shd w:val="clear" w:color="auto" w:fill="auto"/>
            <w:noWrap/>
            <w:vAlign w:val="center"/>
            <w:hideMark/>
          </w:tcPr>
          <w:p w14:paraId="51347D50"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podnikatelským subjektům</w:t>
            </w:r>
          </w:p>
        </w:tc>
        <w:tc>
          <w:tcPr>
            <w:tcW w:w="1701" w:type="dxa"/>
            <w:tcBorders>
              <w:top w:val="dashed" w:sz="4" w:space="0" w:color="auto"/>
              <w:left w:val="nil"/>
              <w:bottom w:val="nil"/>
              <w:right w:val="single" w:sz="4" w:space="0" w:color="auto"/>
            </w:tcBorders>
            <w:shd w:val="clear" w:color="auto" w:fill="auto"/>
            <w:noWrap/>
            <w:vAlign w:val="center"/>
            <w:hideMark/>
          </w:tcPr>
          <w:p w14:paraId="51347D51"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10 798 000</w:t>
            </w:r>
          </w:p>
        </w:tc>
      </w:tr>
      <w:tr w:rsidR="00B016A1" w:rsidRPr="00B016A1" w14:paraId="51347D57"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53"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331600</w:t>
            </w:r>
          </w:p>
        </w:tc>
        <w:tc>
          <w:tcPr>
            <w:tcW w:w="1240" w:type="dxa"/>
            <w:tcBorders>
              <w:top w:val="nil"/>
              <w:left w:val="nil"/>
              <w:bottom w:val="nil"/>
              <w:right w:val="dashed" w:sz="4" w:space="0" w:color="auto"/>
            </w:tcBorders>
            <w:shd w:val="clear" w:color="auto" w:fill="auto"/>
            <w:noWrap/>
            <w:vAlign w:val="center"/>
            <w:hideMark/>
          </w:tcPr>
          <w:p w14:paraId="51347D54"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nil"/>
              <w:left w:val="nil"/>
              <w:bottom w:val="nil"/>
              <w:right w:val="dashed" w:sz="4" w:space="0" w:color="auto"/>
            </w:tcBorders>
            <w:shd w:val="clear" w:color="auto" w:fill="auto"/>
            <w:noWrap/>
            <w:vAlign w:val="center"/>
            <w:hideMark/>
          </w:tcPr>
          <w:p w14:paraId="51347D55"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nil"/>
              <w:left w:val="nil"/>
              <w:bottom w:val="nil"/>
              <w:right w:val="single" w:sz="4" w:space="0" w:color="auto"/>
            </w:tcBorders>
            <w:shd w:val="clear" w:color="auto" w:fill="auto"/>
            <w:noWrap/>
            <w:vAlign w:val="center"/>
            <w:hideMark/>
          </w:tcPr>
          <w:p w14:paraId="51347D56"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13 262 000</w:t>
            </w:r>
          </w:p>
        </w:tc>
      </w:tr>
      <w:tr w:rsidR="00B016A1" w:rsidRPr="00B016A1" w14:paraId="51347D5C"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58"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331600</w:t>
            </w:r>
          </w:p>
        </w:tc>
        <w:tc>
          <w:tcPr>
            <w:tcW w:w="1240" w:type="dxa"/>
            <w:tcBorders>
              <w:top w:val="nil"/>
              <w:left w:val="nil"/>
              <w:bottom w:val="nil"/>
              <w:right w:val="dashed" w:sz="4" w:space="0" w:color="auto"/>
            </w:tcBorders>
            <w:shd w:val="clear" w:color="auto" w:fill="auto"/>
            <w:noWrap/>
            <w:vAlign w:val="center"/>
            <w:hideMark/>
          </w:tcPr>
          <w:p w14:paraId="51347D59"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532</w:t>
            </w:r>
          </w:p>
        </w:tc>
        <w:tc>
          <w:tcPr>
            <w:tcW w:w="5422" w:type="dxa"/>
            <w:tcBorders>
              <w:top w:val="nil"/>
              <w:left w:val="nil"/>
              <w:bottom w:val="nil"/>
              <w:right w:val="dashed" w:sz="4" w:space="0" w:color="auto"/>
            </w:tcBorders>
            <w:shd w:val="clear" w:color="auto" w:fill="auto"/>
            <w:noWrap/>
            <w:vAlign w:val="center"/>
            <w:hideMark/>
          </w:tcPr>
          <w:p w14:paraId="51347D5A"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veřejným rozpočtům územní úrovně</w:t>
            </w:r>
          </w:p>
        </w:tc>
        <w:tc>
          <w:tcPr>
            <w:tcW w:w="1701" w:type="dxa"/>
            <w:tcBorders>
              <w:top w:val="nil"/>
              <w:left w:val="nil"/>
              <w:bottom w:val="nil"/>
              <w:right w:val="single" w:sz="4" w:space="0" w:color="auto"/>
            </w:tcBorders>
            <w:shd w:val="clear" w:color="auto" w:fill="auto"/>
            <w:noWrap/>
            <w:vAlign w:val="center"/>
            <w:hideMark/>
          </w:tcPr>
          <w:p w14:paraId="51347D5B"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390 000</w:t>
            </w:r>
          </w:p>
        </w:tc>
      </w:tr>
      <w:tr w:rsidR="00B016A1" w:rsidRPr="00B016A1" w14:paraId="51347D61"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5D"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331600</w:t>
            </w:r>
          </w:p>
        </w:tc>
        <w:tc>
          <w:tcPr>
            <w:tcW w:w="1240" w:type="dxa"/>
            <w:tcBorders>
              <w:top w:val="nil"/>
              <w:left w:val="nil"/>
              <w:bottom w:val="nil"/>
              <w:right w:val="dashed" w:sz="4" w:space="0" w:color="auto"/>
            </w:tcBorders>
            <w:shd w:val="clear" w:color="auto" w:fill="auto"/>
            <w:noWrap/>
            <w:vAlign w:val="center"/>
            <w:hideMark/>
          </w:tcPr>
          <w:p w14:paraId="51347D5E"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nil"/>
              <w:right w:val="dashed" w:sz="4" w:space="0" w:color="auto"/>
            </w:tcBorders>
            <w:shd w:val="clear" w:color="auto" w:fill="auto"/>
            <w:noWrap/>
            <w:vAlign w:val="center"/>
            <w:hideMark/>
          </w:tcPr>
          <w:p w14:paraId="51347D5F"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nil"/>
              <w:left w:val="nil"/>
              <w:bottom w:val="nil"/>
              <w:right w:val="single" w:sz="4" w:space="0" w:color="auto"/>
            </w:tcBorders>
            <w:shd w:val="clear" w:color="auto" w:fill="auto"/>
            <w:noWrap/>
            <w:vAlign w:val="center"/>
            <w:hideMark/>
          </w:tcPr>
          <w:p w14:paraId="51347D60"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2 382 000</w:t>
            </w:r>
          </w:p>
        </w:tc>
      </w:tr>
      <w:tr w:rsidR="00B016A1" w:rsidRPr="00B016A1" w14:paraId="51347D66"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D62"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331600</w:t>
            </w:r>
          </w:p>
        </w:tc>
        <w:tc>
          <w:tcPr>
            <w:tcW w:w="1240" w:type="dxa"/>
            <w:tcBorders>
              <w:top w:val="nil"/>
              <w:left w:val="nil"/>
              <w:bottom w:val="dashed" w:sz="4" w:space="0" w:color="auto"/>
              <w:right w:val="dashed" w:sz="4" w:space="0" w:color="auto"/>
            </w:tcBorders>
            <w:shd w:val="clear" w:color="auto" w:fill="auto"/>
            <w:noWrap/>
            <w:vAlign w:val="center"/>
            <w:hideMark/>
          </w:tcPr>
          <w:p w14:paraId="51347D63"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553</w:t>
            </w:r>
          </w:p>
        </w:tc>
        <w:tc>
          <w:tcPr>
            <w:tcW w:w="5422" w:type="dxa"/>
            <w:tcBorders>
              <w:top w:val="nil"/>
              <w:left w:val="nil"/>
              <w:bottom w:val="dashed" w:sz="4" w:space="0" w:color="auto"/>
              <w:right w:val="dashed" w:sz="4" w:space="0" w:color="auto"/>
            </w:tcBorders>
            <w:shd w:val="clear" w:color="auto" w:fill="auto"/>
            <w:noWrap/>
            <w:vAlign w:val="center"/>
            <w:hideMark/>
          </w:tcPr>
          <w:p w14:paraId="51347D64"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Ostatní neinvestiční transfery do zahraničí</w:t>
            </w:r>
          </w:p>
        </w:tc>
        <w:tc>
          <w:tcPr>
            <w:tcW w:w="1701" w:type="dxa"/>
            <w:tcBorders>
              <w:top w:val="nil"/>
              <w:left w:val="nil"/>
              <w:bottom w:val="dashed" w:sz="4" w:space="0" w:color="auto"/>
              <w:right w:val="single" w:sz="4" w:space="0" w:color="auto"/>
            </w:tcBorders>
            <w:shd w:val="clear" w:color="auto" w:fill="auto"/>
            <w:noWrap/>
            <w:vAlign w:val="center"/>
            <w:hideMark/>
          </w:tcPr>
          <w:p w14:paraId="51347D65"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3 800 000</w:t>
            </w:r>
          </w:p>
        </w:tc>
      </w:tr>
      <w:tr w:rsidR="00B016A1" w:rsidRPr="00B016A1" w14:paraId="51347D6A"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67"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331600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D68"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Vydavatelská činnost</w:t>
            </w:r>
          </w:p>
        </w:tc>
        <w:tc>
          <w:tcPr>
            <w:tcW w:w="1701" w:type="dxa"/>
            <w:tcBorders>
              <w:top w:val="nil"/>
              <w:left w:val="nil"/>
              <w:bottom w:val="nil"/>
              <w:right w:val="single" w:sz="4" w:space="0" w:color="auto"/>
            </w:tcBorders>
            <w:shd w:val="clear" w:color="auto" w:fill="auto"/>
            <w:noWrap/>
            <w:vAlign w:val="center"/>
            <w:hideMark/>
          </w:tcPr>
          <w:p w14:paraId="51347D69"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30 632 000</w:t>
            </w:r>
          </w:p>
        </w:tc>
      </w:tr>
      <w:tr w:rsidR="00B016A1" w:rsidRPr="00B016A1" w14:paraId="51347D6F"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D6B"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331700</w:t>
            </w:r>
          </w:p>
        </w:tc>
        <w:tc>
          <w:tcPr>
            <w:tcW w:w="1240" w:type="dxa"/>
            <w:tcBorders>
              <w:top w:val="nil"/>
              <w:left w:val="nil"/>
              <w:bottom w:val="nil"/>
              <w:right w:val="dashed" w:sz="4" w:space="0" w:color="auto"/>
            </w:tcBorders>
            <w:shd w:val="clear" w:color="auto" w:fill="auto"/>
            <w:noWrap/>
            <w:vAlign w:val="center"/>
            <w:hideMark/>
          </w:tcPr>
          <w:p w14:paraId="51347D6C"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513</w:t>
            </w:r>
          </w:p>
        </w:tc>
        <w:tc>
          <w:tcPr>
            <w:tcW w:w="5422" w:type="dxa"/>
            <w:tcBorders>
              <w:top w:val="nil"/>
              <w:left w:val="nil"/>
              <w:bottom w:val="nil"/>
              <w:right w:val="dashed" w:sz="4" w:space="0" w:color="auto"/>
            </w:tcBorders>
            <w:shd w:val="clear" w:color="auto" w:fill="auto"/>
            <w:noWrap/>
            <w:vAlign w:val="center"/>
            <w:hideMark/>
          </w:tcPr>
          <w:p w14:paraId="51347D6D"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Nákup materiálu</w:t>
            </w:r>
          </w:p>
        </w:tc>
        <w:tc>
          <w:tcPr>
            <w:tcW w:w="1701" w:type="dxa"/>
            <w:tcBorders>
              <w:top w:val="dashed" w:sz="4" w:space="0" w:color="auto"/>
              <w:left w:val="nil"/>
              <w:bottom w:val="nil"/>
              <w:right w:val="single" w:sz="4" w:space="0" w:color="auto"/>
            </w:tcBorders>
            <w:shd w:val="clear" w:color="auto" w:fill="auto"/>
            <w:noWrap/>
            <w:vAlign w:val="center"/>
            <w:hideMark/>
          </w:tcPr>
          <w:p w14:paraId="51347D6E"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5 000</w:t>
            </w:r>
          </w:p>
        </w:tc>
      </w:tr>
      <w:tr w:rsidR="00B016A1" w:rsidRPr="00B016A1" w14:paraId="51347D74"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70"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331700</w:t>
            </w:r>
          </w:p>
        </w:tc>
        <w:tc>
          <w:tcPr>
            <w:tcW w:w="1240" w:type="dxa"/>
            <w:tcBorders>
              <w:top w:val="nil"/>
              <w:left w:val="nil"/>
              <w:bottom w:val="nil"/>
              <w:right w:val="dashed" w:sz="4" w:space="0" w:color="auto"/>
            </w:tcBorders>
            <w:shd w:val="clear" w:color="auto" w:fill="auto"/>
            <w:noWrap/>
            <w:vAlign w:val="center"/>
            <w:hideMark/>
          </w:tcPr>
          <w:p w14:paraId="51347D7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516</w:t>
            </w:r>
          </w:p>
        </w:tc>
        <w:tc>
          <w:tcPr>
            <w:tcW w:w="5422" w:type="dxa"/>
            <w:tcBorders>
              <w:top w:val="nil"/>
              <w:left w:val="nil"/>
              <w:bottom w:val="nil"/>
              <w:right w:val="dashed" w:sz="4" w:space="0" w:color="auto"/>
            </w:tcBorders>
            <w:shd w:val="clear" w:color="auto" w:fill="auto"/>
            <w:noWrap/>
            <w:vAlign w:val="center"/>
            <w:hideMark/>
          </w:tcPr>
          <w:p w14:paraId="51347D72"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Nákup služeb</w:t>
            </w:r>
          </w:p>
        </w:tc>
        <w:tc>
          <w:tcPr>
            <w:tcW w:w="1701" w:type="dxa"/>
            <w:tcBorders>
              <w:top w:val="nil"/>
              <w:left w:val="nil"/>
              <w:bottom w:val="nil"/>
              <w:right w:val="single" w:sz="4" w:space="0" w:color="auto"/>
            </w:tcBorders>
            <w:shd w:val="clear" w:color="auto" w:fill="auto"/>
            <w:noWrap/>
            <w:vAlign w:val="center"/>
            <w:hideMark/>
          </w:tcPr>
          <w:p w14:paraId="51347D73"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4 234 000</w:t>
            </w:r>
          </w:p>
        </w:tc>
      </w:tr>
      <w:tr w:rsidR="00B016A1" w:rsidRPr="00B016A1" w14:paraId="51347D79"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75"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331700</w:t>
            </w:r>
          </w:p>
        </w:tc>
        <w:tc>
          <w:tcPr>
            <w:tcW w:w="1240" w:type="dxa"/>
            <w:tcBorders>
              <w:top w:val="nil"/>
              <w:left w:val="nil"/>
              <w:bottom w:val="nil"/>
              <w:right w:val="dashed" w:sz="4" w:space="0" w:color="auto"/>
            </w:tcBorders>
            <w:shd w:val="clear" w:color="auto" w:fill="auto"/>
            <w:noWrap/>
            <w:vAlign w:val="center"/>
            <w:hideMark/>
          </w:tcPr>
          <w:p w14:paraId="51347D76"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521</w:t>
            </w:r>
          </w:p>
        </w:tc>
        <w:tc>
          <w:tcPr>
            <w:tcW w:w="5422" w:type="dxa"/>
            <w:tcBorders>
              <w:top w:val="nil"/>
              <w:left w:val="nil"/>
              <w:bottom w:val="nil"/>
              <w:right w:val="dashed" w:sz="4" w:space="0" w:color="auto"/>
            </w:tcBorders>
            <w:shd w:val="clear" w:color="auto" w:fill="auto"/>
            <w:noWrap/>
            <w:vAlign w:val="center"/>
            <w:hideMark/>
          </w:tcPr>
          <w:p w14:paraId="51347D77"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podnikatelským subjektům</w:t>
            </w:r>
          </w:p>
        </w:tc>
        <w:tc>
          <w:tcPr>
            <w:tcW w:w="1701" w:type="dxa"/>
            <w:tcBorders>
              <w:top w:val="nil"/>
              <w:left w:val="nil"/>
              <w:bottom w:val="nil"/>
              <w:right w:val="single" w:sz="4" w:space="0" w:color="auto"/>
            </w:tcBorders>
            <w:shd w:val="clear" w:color="auto" w:fill="auto"/>
            <w:noWrap/>
            <w:vAlign w:val="center"/>
            <w:hideMark/>
          </w:tcPr>
          <w:p w14:paraId="51347D78"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30 117 540</w:t>
            </w:r>
          </w:p>
        </w:tc>
      </w:tr>
      <w:tr w:rsidR="00B016A1" w:rsidRPr="00B016A1" w14:paraId="51347D7E"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7A"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331700</w:t>
            </w:r>
          </w:p>
        </w:tc>
        <w:tc>
          <w:tcPr>
            <w:tcW w:w="1240" w:type="dxa"/>
            <w:tcBorders>
              <w:top w:val="nil"/>
              <w:left w:val="nil"/>
              <w:bottom w:val="nil"/>
              <w:right w:val="dashed" w:sz="4" w:space="0" w:color="auto"/>
            </w:tcBorders>
            <w:shd w:val="clear" w:color="auto" w:fill="auto"/>
            <w:noWrap/>
            <w:vAlign w:val="center"/>
            <w:hideMark/>
          </w:tcPr>
          <w:p w14:paraId="51347D7B"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nil"/>
              <w:left w:val="nil"/>
              <w:bottom w:val="nil"/>
              <w:right w:val="dashed" w:sz="4" w:space="0" w:color="auto"/>
            </w:tcBorders>
            <w:shd w:val="clear" w:color="auto" w:fill="auto"/>
            <w:noWrap/>
            <w:vAlign w:val="center"/>
            <w:hideMark/>
          </w:tcPr>
          <w:p w14:paraId="51347D7C"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nil"/>
              <w:left w:val="nil"/>
              <w:bottom w:val="nil"/>
              <w:right w:val="single" w:sz="4" w:space="0" w:color="auto"/>
            </w:tcBorders>
            <w:shd w:val="clear" w:color="auto" w:fill="auto"/>
            <w:noWrap/>
            <w:vAlign w:val="center"/>
            <w:hideMark/>
          </w:tcPr>
          <w:p w14:paraId="51347D7D"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11 879 290</w:t>
            </w:r>
          </w:p>
        </w:tc>
      </w:tr>
      <w:tr w:rsidR="00B016A1" w:rsidRPr="00B016A1" w14:paraId="51347D83"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7F"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331700</w:t>
            </w:r>
          </w:p>
        </w:tc>
        <w:tc>
          <w:tcPr>
            <w:tcW w:w="1240" w:type="dxa"/>
            <w:tcBorders>
              <w:top w:val="nil"/>
              <w:left w:val="nil"/>
              <w:bottom w:val="nil"/>
              <w:right w:val="dashed" w:sz="4" w:space="0" w:color="auto"/>
            </w:tcBorders>
            <w:shd w:val="clear" w:color="auto" w:fill="auto"/>
            <w:noWrap/>
            <w:vAlign w:val="center"/>
            <w:hideMark/>
          </w:tcPr>
          <w:p w14:paraId="51347D80"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532</w:t>
            </w:r>
          </w:p>
        </w:tc>
        <w:tc>
          <w:tcPr>
            <w:tcW w:w="5422" w:type="dxa"/>
            <w:tcBorders>
              <w:top w:val="nil"/>
              <w:left w:val="nil"/>
              <w:bottom w:val="nil"/>
              <w:right w:val="dashed" w:sz="4" w:space="0" w:color="auto"/>
            </w:tcBorders>
            <w:shd w:val="clear" w:color="auto" w:fill="auto"/>
            <w:noWrap/>
            <w:vAlign w:val="center"/>
            <w:hideMark/>
          </w:tcPr>
          <w:p w14:paraId="51347D81"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veřejným rozpočtům územní úrovně</w:t>
            </w:r>
          </w:p>
        </w:tc>
        <w:tc>
          <w:tcPr>
            <w:tcW w:w="1701" w:type="dxa"/>
            <w:tcBorders>
              <w:top w:val="nil"/>
              <w:left w:val="nil"/>
              <w:bottom w:val="nil"/>
              <w:right w:val="single" w:sz="4" w:space="0" w:color="auto"/>
            </w:tcBorders>
            <w:shd w:val="clear" w:color="auto" w:fill="auto"/>
            <w:noWrap/>
            <w:vAlign w:val="center"/>
            <w:hideMark/>
          </w:tcPr>
          <w:p w14:paraId="51347D82"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3 829 710</w:t>
            </w:r>
          </w:p>
        </w:tc>
      </w:tr>
      <w:tr w:rsidR="00B016A1" w:rsidRPr="00B016A1" w14:paraId="51347D88"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D84"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331700</w:t>
            </w:r>
          </w:p>
        </w:tc>
        <w:tc>
          <w:tcPr>
            <w:tcW w:w="1240" w:type="dxa"/>
            <w:tcBorders>
              <w:top w:val="nil"/>
              <w:left w:val="nil"/>
              <w:bottom w:val="dashed" w:sz="4" w:space="0" w:color="auto"/>
              <w:right w:val="dashed" w:sz="4" w:space="0" w:color="auto"/>
            </w:tcBorders>
            <w:shd w:val="clear" w:color="auto" w:fill="auto"/>
            <w:noWrap/>
            <w:vAlign w:val="center"/>
            <w:hideMark/>
          </w:tcPr>
          <w:p w14:paraId="51347D85"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dashed" w:sz="4" w:space="0" w:color="auto"/>
              <w:right w:val="dashed" w:sz="4" w:space="0" w:color="auto"/>
            </w:tcBorders>
            <w:shd w:val="clear" w:color="auto" w:fill="auto"/>
            <w:noWrap/>
            <w:vAlign w:val="center"/>
            <w:hideMark/>
          </w:tcPr>
          <w:p w14:paraId="51347D86"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nil"/>
              <w:left w:val="nil"/>
              <w:bottom w:val="dashed" w:sz="4" w:space="0" w:color="auto"/>
              <w:right w:val="single" w:sz="4" w:space="0" w:color="auto"/>
            </w:tcBorders>
            <w:shd w:val="clear" w:color="auto" w:fill="auto"/>
            <w:noWrap/>
            <w:vAlign w:val="center"/>
            <w:hideMark/>
          </w:tcPr>
          <w:p w14:paraId="51347D87"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2 867 860</w:t>
            </w:r>
          </w:p>
        </w:tc>
      </w:tr>
      <w:tr w:rsidR="00B016A1" w:rsidRPr="00B016A1" w14:paraId="51347D8C"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89"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331700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D8A"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Výstavní činnosti v kultuře</w:t>
            </w:r>
          </w:p>
        </w:tc>
        <w:tc>
          <w:tcPr>
            <w:tcW w:w="1701" w:type="dxa"/>
            <w:tcBorders>
              <w:top w:val="nil"/>
              <w:left w:val="nil"/>
              <w:bottom w:val="nil"/>
              <w:right w:val="single" w:sz="4" w:space="0" w:color="auto"/>
            </w:tcBorders>
            <w:shd w:val="clear" w:color="auto" w:fill="auto"/>
            <w:noWrap/>
            <w:vAlign w:val="center"/>
            <w:hideMark/>
          </w:tcPr>
          <w:p w14:paraId="51347D8B"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52 933 400</w:t>
            </w:r>
          </w:p>
        </w:tc>
      </w:tr>
      <w:tr w:rsidR="00B016A1" w:rsidRPr="00B016A1" w14:paraId="51347D91"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D8D"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331900</w:t>
            </w:r>
          </w:p>
        </w:tc>
        <w:tc>
          <w:tcPr>
            <w:tcW w:w="1240" w:type="dxa"/>
            <w:tcBorders>
              <w:top w:val="nil"/>
              <w:left w:val="nil"/>
              <w:bottom w:val="nil"/>
              <w:right w:val="dashed" w:sz="4" w:space="0" w:color="auto"/>
            </w:tcBorders>
            <w:shd w:val="clear" w:color="auto" w:fill="auto"/>
            <w:noWrap/>
            <w:vAlign w:val="center"/>
            <w:hideMark/>
          </w:tcPr>
          <w:p w14:paraId="51347D8E"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521</w:t>
            </w:r>
          </w:p>
        </w:tc>
        <w:tc>
          <w:tcPr>
            <w:tcW w:w="5422" w:type="dxa"/>
            <w:tcBorders>
              <w:top w:val="nil"/>
              <w:left w:val="nil"/>
              <w:bottom w:val="nil"/>
              <w:right w:val="dashed" w:sz="4" w:space="0" w:color="auto"/>
            </w:tcBorders>
            <w:shd w:val="clear" w:color="auto" w:fill="auto"/>
            <w:noWrap/>
            <w:vAlign w:val="center"/>
            <w:hideMark/>
          </w:tcPr>
          <w:p w14:paraId="51347D8F"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podnikatelským subjektům</w:t>
            </w:r>
          </w:p>
        </w:tc>
        <w:tc>
          <w:tcPr>
            <w:tcW w:w="1701" w:type="dxa"/>
            <w:tcBorders>
              <w:top w:val="dashed" w:sz="4" w:space="0" w:color="auto"/>
              <w:left w:val="nil"/>
              <w:bottom w:val="nil"/>
              <w:right w:val="single" w:sz="4" w:space="0" w:color="auto"/>
            </w:tcBorders>
            <w:shd w:val="clear" w:color="auto" w:fill="auto"/>
            <w:noWrap/>
            <w:vAlign w:val="center"/>
            <w:hideMark/>
          </w:tcPr>
          <w:p w14:paraId="51347D90"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72 383 000</w:t>
            </w:r>
          </w:p>
        </w:tc>
      </w:tr>
      <w:tr w:rsidR="00B016A1" w:rsidRPr="00B016A1" w14:paraId="51347D96"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92"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331900</w:t>
            </w:r>
          </w:p>
        </w:tc>
        <w:tc>
          <w:tcPr>
            <w:tcW w:w="1240" w:type="dxa"/>
            <w:tcBorders>
              <w:top w:val="nil"/>
              <w:left w:val="nil"/>
              <w:bottom w:val="nil"/>
              <w:right w:val="dashed" w:sz="4" w:space="0" w:color="auto"/>
            </w:tcBorders>
            <w:shd w:val="clear" w:color="auto" w:fill="auto"/>
            <w:noWrap/>
            <w:vAlign w:val="center"/>
            <w:hideMark/>
          </w:tcPr>
          <w:p w14:paraId="51347D93"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nil"/>
              <w:left w:val="nil"/>
              <w:bottom w:val="nil"/>
              <w:right w:val="dashed" w:sz="4" w:space="0" w:color="auto"/>
            </w:tcBorders>
            <w:shd w:val="clear" w:color="auto" w:fill="auto"/>
            <w:noWrap/>
            <w:vAlign w:val="center"/>
            <w:hideMark/>
          </w:tcPr>
          <w:p w14:paraId="51347D94"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nil"/>
              <w:left w:val="nil"/>
              <w:bottom w:val="nil"/>
              <w:right w:val="single" w:sz="4" w:space="0" w:color="auto"/>
            </w:tcBorders>
            <w:shd w:val="clear" w:color="auto" w:fill="auto"/>
            <w:noWrap/>
            <w:vAlign w:val="center"/>
            <w:hideMark/>
          </w:tcPr>
          <w:p w14:paraId="51347D95"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104 334 783</w:t>
            </w:r>
          </w:p>
        </w:tc>
      </w:tr>
      <w:tr w:rsidR="00B016A1" w:rsidRPr="00B016A1" w14:paraId="51347D9B"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9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lastRenderedPageBreak/>
              <w:t>331900</w:t>
            </w:r>
          </w:p>
        </w:tc>
        <w:tc>
          <w:tcPr>
            <w:tcW w:w="1240" w:type="dxa"/>
            <w:tcBorders>
              <w:top w:val="nil"/>
              <w:left w:val="nil"/>
              <w:bottom w:val="nil"/>
              <w:right w:val="dashed" w:sz="4" w:space="0" w:color="auto"/>
            </w:tcBorders>
            <w:shd w:val="clear" w:color="auto" w:fill="auto"/>
            <w:noWrap/>
            <w:vAlign w:val="center"/>
            <w:hideMark/>
          </w:tcPr>
          <w:p w14:paraId="51347D98"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532</w:t>
            </w:r>
          </w:p>
        </w:tc>
        <w:tc>
          <w:tcPr>
            <w:tcW w:w="5422" w:type="dxa"/>
            <w:tcBorders>
              <w:top w:val="nil"/>
              <w:left w:val="nil"/>
              <w:bottom w:val="nil"/>
              <w:right w:val="dashed" w:sz="4" w:space="0" w:color="auto"/>
            </w:tcBorders>
            <w:shd w:val="clear" w:color="auto" w:fill="auto"/>
            <w:noWrap/>
            <w:vAlign w:val="center"/>
            <w:hideMark/>
          </w:tcPr>
          <w:p w14:paraId="51347D99"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veřejným rozpočtům územní úrovně</w:t>
            </w:r>
          </w:p>
        </w:tc>
        <w:tc>
          <w:tcPr>
            <w:tcW w:w="1701" w:type="dxa"/>
            <w:tcBorders>
              <w:top w:val="nil"/>
              <w:left w:val="nil"/>
              <w:bottom w:val="nil"/>
              <w:right w:val="single" w:sz="4" w:space="0" w:color="auto"/>
            </w:tcBorders>
            <w:shd w:val="clear" w:color="auto" w:fill="auto"/>
            <w:noWrap/>
            <w:vAlign w:val="center"/>
            <w:hideMark/>
          </w:tcPr>
          <w:p w14:paraId="51347D9A"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2 100 000</w:t>
            </w:r>
          </w:p>
        </w:tc>
      </w:tr>
      <w:tr w:rsidR="00B016A1" w:rsidRPr="00B016A1" w14:paraId="51347DA0"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9C"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331900</w:t>
            </w:r>
          </w:p>
        </w:tc>
        <w:tc>
          <w:tcPr>
            <w:tcW w:w="1240" w:type="dxa"/>
            <w:tcBorders>
              <w:top w:val="nil"/>
              <w:left w:val="nil"/>
              <w:bottom w:val="nil"/>
              <w:right w:val="dashed" w:sz="4" w:space="0" w:color="auto"/>
            </w:tcBorders>
            <w:shd w:val="clear" w:color="auto" w:fill="auto"/>
            <w:noWrap/>
            <w:vAlign w:val="center"/>
            <w:hideMark/>
          </w:tcPr>
          <w:p w14:paraId="51347D9D"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nil"/>
              <w:right w:val="dashed" w:sz="4" w:space="0" w:color="auto"/>
            </w:tcBorders>
            <w:shd w:val="clear" w:color="auto" w:fill="auto"/>
            <w:noWrap/>
            <w:vAlign w:val="center"/>
            <w:hideMark/>
          </w:tcPr>
          <w:p w14:paraId="51347D9E"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nil"/>
              <w:left w:val="nil"/>
              <w:bottom w:val="nil"/>
              <w:right w:val="single" w:sz="4" w:space="0" w:color="auto"/>
            </w:tcBorders>
            <w:shd w:val="clear" w:color="auto" w:fill="auto"/>
            <w:noWrap/>
            <w:vAlign w:val="center"/>
            <w:hideMark/>
          </w:tcPr>
          <w:p w14:paraId="51347D9F"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46 294 000</w:t>
            </w:r>
          </w:p>
        </w:tc>
      </w:tr>
      <w:tr w:rsidR="00B016A1" w:rsidRPr="00B016A1" w14:paraId="51347DA5"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DA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331900</w:t>
            </w:r>
          </w:p>
        </w:tc>
        <w:tc>
          <w:tcPr>
            <w:tcW w:w="1240" w:type="dxa"/>
            <w:tcBorders>
              <w:top w:val="nil"/>
              <w:left w:val="nil"/>
              <w:bottom w:val="dashed" w:sz="4" w:space="0" w:color="auto"/>
              <w:right w:val="dashed" w:sz="4" w:space="0" w:color="auto"/>
            </w:tcBorders>
            <w:shd w:val="clear" w:color="auto" w:fill="auto"/>
            <w:noWrap/>
            <w:vAlign w:val="center"/>
            <w:hideMark/>
          </w:tcPr>
          <w:p w14:paraId="51347DA2"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549</w:t>
            </w:r>
          </w:p>
        </w:tc>
        <w:tc>
          <w:tcPr>
            <w:tcW w:w="5422" w:type="dxa"/>
            <w:tcBorders>
              <w:top w:val="nil"/>
              <w:left w:val="nil"/>
              <w:bottom w:val="dashed" w:sz="4" w:space="0" w:color="auto"/>
              <w:right w:val="dashed" w:sz="4" w:space="0" w:color="auto"/>
            </w:tcBorders>
            <w:shd w:val="clear" w:color="auto" w:fill="auto"/>
            <w:noWrap/>
            <w:vAlign w:val="center"/>
            <w:hideMark/>
          </w:tcPr>
          <w:p w14:paraId="51347DA3"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Ostatní neinvestiční transfery obyvatelstvu</w:t>
            </w:r>
          </w:p>
        </w:tc>
        <w:tc>
          <w:tcPr>
            <w:tcW w:w="1701" w:type="dxa"/>
            <w:tcBorders>
              <w:top w:val="nil"/>
              <w:left w:val="nil"/>
              <w:bottom w:val="dashed" w:sz="4" w:space="0" w:color="auto"/>
              <w:right w:val="single" w:sz="4" w:space="0" w:color="auto"/>
            </w:tcBorders>
            <w:shd w:val="clear" w:color="auto" w:fill="auto"/>
            <w:noWrap/>
            <w:vAlign w:val="center"/>
            <w:hideMark/>
          </w:tcPr>
          <w:p w14:paraId="51347DA4"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3 118 000</w:t>
            </w:r>
          </w:p>
        </w:tc>
      </w:tr>
      <w:tr w:rsidR="00B016A1" w:rsidRPr="00B016A1" w14:paraId="51347DA9"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A6"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331900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DA7"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Ostatní záležitosti kultury</w:t>
            </w:r>
          </w:p>
        </w:tc>
        <w:tc>
          <w:tcPr>
            <w:tcW w:w="1701" w:type="dxa"/>
            <w:tcBorders>
              <w:top w:val="nil"/>
              <w:left w:val="nil"/>
              <w:bottom w:val="nil"/>
              <w:right w:val="single" w:sz="4" w:space="0" w:color="auto"/>
            </w:tcBorders>
            <w:shd w:val="clear" w:color="auto" w:fill="auto"/>
            <w:noWrap/>
            <w:vAlign w:val="center"/>
            <w:hideMark/>
          </w:tcPr>
          <w:p w14:paraId="51347DA8"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228 229 783</w:t>
            </w:r>
          </w:p>
        </w:tc>
      </w:tr>
      <w:tr w:rsidR="00B016A1" w:rsidRPr="00B016A1" w14:paraId="51347DAE"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DAA"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339100</w:t>
            </w:r>
          </w:p>
        </w:tc>
        <w:tc>
          <w:tcPr>
            <w:tcW w:w="1240" w:type="dxa"/>
            <w:tcBorders>
              <w:top w:val="nil"/>
              <w:left w:val="nil"/>
              <w:bottom w:val="nil"/>
              <w:right w:val="dashed" w:sz="4" w:space="0" w:color="auto"/>
            </w:tcBorders>
            <w:shd w:val="clear" w:color="auto" w:fill="auto"/>
            <w:noWrap/>
            <w:vAlign w:val="center"/>
            <w:hideMark/>
          </w:tcPr>
          <w:p w14:paraId="51347DAB"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514</w:t>
            </w:r>
          </w:p>
        </w:tc>
        <w:tc>
          <w:tcPr>
            <w:tcW w:w="5422" w:type="dxa"/>
            <w:tcBorders>
              <w:top w:val="nil"/>
              <w:left w:val="nil"/>
              <w:bottom w:val="nil"/>
              <w:right w:val="dashed" w:sz="4" w:space="0" w:color="auto"/>
            </w:tcBorders>
            <w:shd w:val="clear" w:color="auto" w:fill="auto"/>
            <w:noWrap/>
            <w:vAlign w:val="center"/>
            <w:hideMark/>
          </w:tcPr>
          <w:p w14:paraId="51347DAC"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Úroky a ostatní finanční výdaje</w:t>
            </w:r>
          </w:p>
        </w:tc>
        <w:tc>
          <w:tcPr>
            <w:tcW w:w="1701" w:type="dxa"/>
            <w:tcBorders>
              <w:top w:val="dashed" w:sz="4" w:space="0" w:color="auto"/>
              <w:left w:val="nil"/>
              <w:bottom w:val="nil"/>
              <w:right w:val="single" w:sz="4" w:space="0" w:color="auto"/>
            </w:tcBorders>
            <w:shd w:val="clear" w:color="auto" w:fill="auto"/>
            <w:noWrap/>
            <w:vAlign w:val="center"/>
            <w:hideMark/>
          </w:tcPr>
          <w:p w14:paraId="51347DAD"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11 320</w:t>
            </w:r>
          </w:p>
        </w:tc>
      </w:tr>
      <w:tr w:rsidR="00B016A1" w:rsidRPr="00B016A1" w14:paraId="51347DB3"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AF"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339100</w:t>
            </w:r>
          </w:p>
        </w:tc>
        <w:tc>
          <w:tcPr>
            <w:tcW w:w="1240" w:type="dxa"/>
            <w:tcBorders>
              <w:top w:val="nil"/>
              <w:left w:val="nil"/>
              <w:bottom w:val="nil"/>
              <w:right w:val="dashed" w:sz="4" w:space="0" w:color="auto"/>
            </w:tcBorders>
            <w:shd w:val="clear" w:color="auto" w:fill="auto"/>
            <w:noWrap/>
            <w:vAlign w:val="center"/>
            <w:hideMark/>
          </w:tcPr>
          <w:p w14:paraId="51347DB0"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517</w:t>
            </w:r>
          </w:p>
        </w:tc>
        <w:tc>
          <w:tcPr>
            <w:tcW w:w="5422" w:type="dxa"/>
            <w:tcBorders>
              <w:top w:val="nil"/>
              <w:left w:val="nil"/>
              <w:bottom w:val="nil"/>
              <w:right w:val="dashed" w:sz="4" w:space="0" w:color="auto"/>
            </w:tcBorders>
            <w:shd w:val="clear" w:color="auto" w:fill="auto"/>
            <w:noWrap/>
            <w:vAlign w:val="center"/>
            <w:hideMark/>
          </w:tcPr>
          <w:p w14:paraId="51347DB1"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Ostatní nákupy</w:t>
            </w:r>
          </w:p>
        </w:tc>
        <w:tc>
          <w:tcPr>
            <w:tcW w:w="1701" w:type="dxa"/>
            <w:tcBorders>
              <w:top w:val="nil"/>
              <w:left w:val="nil"/>
              <w:bottom w:val="nil"/>
              <w:right w:val="single" w:sz="4" w:space="0" w:color="auto"/>
            </w:tcBorders>
            <w:shd w:val="clear" w:color="auto" w:fill="auto"/>
            <w:noWrap/>
            <w:vAlign w:val="center"/>
            <w:hideMark/>
          </w:tcPr>
          <w:p w14:paraId="51347DB2"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968 930</w:t>
            </w:r>
          </w:p>
        </w:tc>
      </w:tr>
      <w:tr w:rsidR="00B016A1" w:rsidRPr="00B016A1" w14:paraId="51347DB8"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B4"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339100</w:t>
            </w:r>
          </w:p>
        </w:tc>
        <w:tc>
          <w:tcPr>
            <w:tcW w:w="1240" w:type="dxa"/>
            <w:tcBorders>
              <w:top w:val="nil"/>
              <w:left w:val="nil"/>
              <w:bottom w:val="nil"/>
              <w:right w:val="dashed" w:sz="4" w:space="0" w:color="auto"/>
            </w:tcBorders>
            <w:shd w:val="clear" w:color="auto" w:fill="auto"/>
            <w:noWrap/>
            <w:vAlign w:val="center"/>
            <w:hideMark/>
          </w:tcPr>
          <w:p w14:paraId="51347DB5"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521</w:t>
            </w:r>
          </w:p>
        </w:tc>
        <w:tc>
          <w:tcPr>
            <w:tcW w:w="5422" w:type="dxa"/>
            <w:tcBorders>
              <w:top w:val="nil"/>
              <w:left w:val="nil"/>
              <w:bottom w:val="nil"/>
              <w:right w:val="dashed" w:sz="4" w:space="0" w:color="auto"/>
            </w:tcBorders>
            <w:shd w:val="clear" w:color="auto" w:fill="auto"/>
            <w:noWrap/>
            <w:vAlign w:val="center"/>
            <w:hideMark/>
          </w:tcPr>
          <w:p w14:paraId="51347DB6"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podnikatelským subjektům</w:t>
            </w:r>
          </w:p>
        </w:tc>
        <w:tc>
          <w:tcPr>
            <w:tcW w:w="1701" w:type="dxa"/>
            <w:tcBorders>
              <w:top w:val="nil"/>
              <w:left w:val="nil"/>
              <w:bottom w:val="nil"/>
              <w:right w:val="single" w:sz="4" w:space="0" w:color="auto"/>
            </w:tcBorders>
            <w:shd w:val="clear" w:color="auto" w:fill="auto"/>
            <w:noWrap/>
            <w:vAlign w:val="center"/>
            <w:hideMark/>
          </w:tcPr>
          <w:p w14:paraId="51347DB7"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1 437 850</w:t>
            </w:r>
          </w:p>
        </w:tc>
      </w:tr>
      <w:tr w:rsidR="00B016A1" w:rsidRPr="00B016A1" w14:paraId="51347DBD"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B9"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339100</w:t>
            </w:r>
          </w:p>
        </w:tc>
        <w:tc>
          <w:tcPr>
            <w:tcW w:w="1240" w:type="dxa"/>
            <w:tcBorders>
              <w:top w:val="nil"/>
              <w:left w:val="nil"/>
              <w:bottom w:val="nil"/>
              <w:right w:val="dashed" w:sz="4" w:space="0" w:color="auto"/>
            </w:tcBorders>
            <w:shd w:val="clear" w:color="auto" w:fill="auto"/>
            <w:noWrap/>
            <w:vAlign w:val="center"/>
            <w:hideMark/>
          </w:tcPr>
          <w:p w14:paraId="51347DBA"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nil"/>
              <w:left w:val="nil"/>
              <w:bottom w:val="nil"/>
              <w:right w:val="dashed" w:sz="4" w:space="0" w:color="auto"/>
            </w:tcBorders>
            <w:shd w:val="clear" w:color="auto" w:fill="auto"/>
            <w:noWrap/>
            <w:vAlign w:val="center"/>
            <w:hideMark/>
          </w:tcPr>
          <w:p w14:paraId="51347DBB"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nil"/>
              <w:left w:val="nil"/>
              <w:bottom w:val="nil"/>
              <w:right w:val="single" w:sz="4" w:space="0" w:color="auto"/>
            </w:tcBorders>
            <w:shd w:val="clear" w:color="auto" w:fill="auto"/>
            <w:noWrap/>
            <w:vAlign w:val="center"/>
            <w:hideMark/>
          </w:tcPr>
          <w:p w14:paraId="51347DBC"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9 285 220</w:t>
            </w:r>
          </w:p>
        </w:tc>
      </w:tr>
      <w:tr w:rsidR="00B016A1" w:rsidRPr="00B016A1" w14:paraId="51347DC2"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BE"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339100</w:t>
            </w:r>
          </w:p>
        </w:tc>
        <w:tc>
          <w:tcPr>
            <w:tcW w:w="1240" w:type="dxa"/>
            <w:tcBorders>
              <w:top w:val="nil"/>
              <w:left w:val="nil"/>
              <w:bottom w:val="nil"/>
              <w:right w:val="dashed" w:sz="4" w:space="0" w:color="auto"/>
            </w:tcBorders>
            <w:shd w:val="clear" w:color="auto" w:fill="auto"/>
            <w:noWrap/>
            <w:vAlign w:val="center"/>
            <w:hideMark/>
          </w:tcPr>
          <w:p w14:paraId="51347DBF"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532</w:t>
            </w:r>
          </w:p>
        </w:tc>
        <w:tc>
          <w:tcPr>
            <w:tcW w:w="5422" w:type="dxa"/>
            <w:tcBorders>
              <w:top w:val="nil"/>
              <w:left w:val="nil"/>
              <w:bottom w:val="nil"/>
              <w:right w:val="dashed" w:sz="4" w:space="0" w:color="auto"/>
            </w:tcBorders>
            <w:shd w:val="clear" w:color="auto" w:fill="auto"/>
            <w:noWrap/>
            <w:vAlign w:val="center"/>
            <w:hideMark/>
          </w:tcPr>
          <w:p w14:paraId="51347DC0"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veřejným rozpočtům územní úrovně</w:t>
            </w:r>
          </w:p>
        </w:tc>
        <w:tc>
          <w:tcPr>
            <w:tcW w:w="1701" w:type="dxa"/>
            <w:tcBorders>
              <w:top w:val="nil"/>
              <w:left w:val="nil"/>
              <w:bottom w:val="nil"/>
              <w:right w:val="single" w:sz="4" w:space="0" w:color="auto"/>
            </w:tcBorders>
            <w:shd w:val="clear" w:color="auto" w:fill="auto"/>
            <w:noWrap/>
            <w:vAlign w:val="center"/>
            <w:hideMark/>
          </w:tcPr>
          <w:p w14:paraId="51347DC1"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1 821 280</w:t>
            </w:r>
          </w:p>
        </w:tc>
      </w:tr>
      <w:tr w:rsidR="00B016A1" w:rsidRPr="00B016A1" w14:paraId="51347DC7"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C3"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339100</w:t>
            </w:r>
          </w:p>
        </w:tc>
        <w:tc>
          <w:tcPr>
            <w:tcW w:w="1240" w:type="dxa"/>
            <w:tcBorders>
              <w:top w:val="nil"/>
              <w:left w:val="nil"/>
              <w:bottom w:val="nil"/>
              <w:right w:val="dashed" w:sz="4" w:space="0" w:color="auto"/>
            </w:tcBorders>
            <w:shd w:val="clear" w:color="auto" w:fill="auto"/>
            <w:noWrap/>
            <w:vAlign w:val="center"/>
            <w:hideMark/>
          </w:tcPr>
          <w:p w14:paraId="51347DC4"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nil"/>
              <w:right w:val="dashed" w:sz="4" w:space="0" w:color="auto"/>
            </w:tcBorders>
            <w:shd w:val="clear" w:color="auto" w:fill="auto"/>
            <w:noWrap/>
            <w:vAlign w:val="center"/>
            <w:hideMark/>
          </w:tcPr>
          <w:p w14:paraId="51347DC5"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nil"/>
              <w:left w:val="nil"/>
              <w:bottom w:val="nil"/>
              <w:right w:val="single" w:sz="4" w:space="0" w:color="auto"/>
            </w:tcBorders>
            <w:shd w:val="clear" w:color="auto" w:fill="auto"/>
            <w:noWrap/>
            <w:vAlign w:val="center"/>
            <w:hideMark/>
          </w:tcPr>
          <w:p w14:paraId="51347DC6"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2 013 000</w:t>
            </w:r>
          </w:p>
        </w:tc>
      </w:tr>
      <w:tr w:rsidR="00B016A1" w:rsidRPr="00B016A1" w14:paraId="51347DCC"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DC8"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339100</w:t>
            </w:r>
          </w:p>
        </w:tc>
        <w:tc>
          <w:tcPr>
            <w:tcW w:w="1240" w:type="dxa"/>
            <w:tcBorders>
              <w:top w:val="nil"/>
              <w:left w:val="nil"/>
              <w:bottom w:val="dashed" w:sz="4" w:space="0" w:color="auto"/>
              <w:right w:val="dashed" w:sz="4" w:space="0" w:color="auto"/>
            </w:tcBorders>
            <w:shd w:val="clear" w:color="auto" w:fill="auto"/>
            <w:noWrap/>
            <w:vAlign w:val="center"/>
            <w:hideMark/>
          </w:tcPr>
          <w:p w14:paraId="51347DC9"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553</w:t>
            </w:r>
          </w:p>
        </w:tc>
        <w:tc>
          <w:tcPr>
            <w:tcW w:w="5422" w:type="dxa"/>
            <w:tcBorders>
              <w:top w:val="nil"/>
              <w:left w:val="nil"/>
              <w:bottom w:val="dashed" w:sz="4" w:space="0" w:color="auto"/>
              <w:right w:val="dashed" w:sz="4" w:space="0" w:color="auto"/>
            </w:tcBorders>
            <w:shd w:val="clear" w:color="auto" w:fill="auto"/>
            <w:noWrap/>
            <w:vAlign w:val="center"/>
            <w:hideMark/>
          </w:tcPr>
          <w:p w14:paraId="51347DCA"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Ostatní neinvestiční transfery do zahraničí</w:t>
            </w:r>
          </w:p>
        </w:tc>
        <w:tc>
          <w:tcPr>
            <w:tcW w:w="1701" w:type="dxa"/>
            <w:tcBorders>
              <w:top w:val="nil"/>
              <w:left w:val="nil"/>
              <w:bottom w:val="dashed" w:sz="4" w:space="0" w:color="auto"/>
              <w:right w:val="single" w:sz="4" w:space="0" w:color="auto"/>
            </w:tcBorders>
            <w:shd w:val="clear" w:color="auto" w:fill="auto"/>
            <w:noWrap/>
            <w:vAlign w:val="center"/>
            <w:hideMark/>
          </w:tcPr>
          <w:p w14:paraId="51347DCB"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420 000</w:t>
            </w:r>
          </w:p>
        </w:tc>
      </w:tr>
      <w:tr w:rsidR="00B016A1" w:rsidRPr="00B016A1" w14:paraId="51347DD0" w14:textId="77777777" w:rsidTr="00B016A1">
        <w:trPr>
          <w:trHeight w:val="559"/>
        </w:trPr>
        <w:tc>
          <w:tcPr>
            <w:tcW w:w="1008" w:type="dxa"/>
            <w:tcBorders>
              <w:top w:val="nil"/>
              <w:left w:val="single" w:sz="4" w:space="0" w:color="auto"/>
              <w:bottom w:val="nil"/>
              <w:right w:val="dashed" w:sz="4" w:space="0" w:color="auto"/>
            </w:tcBorders>
            <w:shd w:val="clear" w:color="auto" w:fill="auto"/>
            <w:noWrap/>
            <w:vAlign w:val="center"/>
            <w:hideMark/>
          </w:tcPr>
          <w:p w14:paraId="51347DCD"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339100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DCE"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Mezinárodní spolupráce v kultuře, církvích a sdělovacích prostředcích</w:t>
            </w:r>
          </w:p>
        </w:tc>
        <w:tc>
          <w:tcPr>
            <w:tcW w:w="1701" w:type="dxa"/>
            <w:tcBorders>
              <w:top w:val="nil"/>
              <w:left w:val="nil"/>
              <w:bottom w:val="nil"/>
              <w:right w:val="single" w:sz="4" w:space="0" w:color="auto"/>
            </w:tcBorders>
            <w:shd w:val="clear" w:color="auto" w:fill="auto"/>
            <w:noWrap/>
            <w:vAlign w:val="center"/>
            <w:hideMark/>
          </w:tcPr>
          <w:p w14:paraId="51347DCF"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15 957 600</w:t>
            </w:r>
          </w:p>
        </w:tc>
      </w:tr>
      <w:tr w:rsidR="00B016A1" w:rsidRPr="00B016A1" w14:paraId="51347DD5"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DD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339200</w:t>
            </w:r>
          </w:p>
        </w:tc>
        <w:tc>
          <w:tcPr>
            <w:tcW w:w="1240" w:type="dxa"/>
            <w:tcBorders>
              <w:top w:val="nil"/>
              <w:left w:val="nil"/>
              <w:bottom w:val="nil"/>
              <w:right w:val="dashed" w:sz="4" w:space="0" w:color="auto"/>
            </w:tcBorders>
            <w:shd w:val="clear" w:color="auto" w:fill="auto"/>
            <w:noWrap/>
            <w:vAlign w:val="center"/>
            <w:hideMark/>
          </w:tcPr>
          <w:p w14:paraId="51347DD2"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521</w:t>
            </w:r>
          </w:p>
        </w:tc>
        <w:tc>
          <w:tcPr>
            <w:tcW w:w="5422" w:type="dxa"/>
            <w:tcBorders>
              <w:top w:val="nil"/>
              <w:left w:val="nil"/>
              <w:bottom w:val="nil"/>
              <w:right w:val="dashed" w:sz="4" w:space="0" w:color="auto"/>
            </w:tcBorders>
            <w:shd w:val="clear" w:color="auto" w:fill="auto"/>
            <w:noWrap/>
            <w:vAlign w:val="center"/>
            <w:hideMark/>
          </w:tcPr>
          <w:p w14:paraId="51347DD3"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podnikatelským subjektům</w:t>
            </w:r>
          </w:p>
        </w:tc>
        <w:tc>
          <w:tcPr>
            <w:tcW w:w="1701" w:type="dxa"/>
            <w:tcBorders>
              <w:top w:val="dashed" w:sz="4" w:space="0" w:color="auto"/>
              <w:left w:val="nil"/>
              <w:bottom w:val="nil"/>
              <w:right w:val="single" w:sz="4" w:space="0" w:color="auto"/>
            </w:tcBorders>
            <w:shd w:val="clear" w:color="auto" w:fill="auto"/>
            <w:noWrap/>
            <w:vAlign w:val="center"/>
            <w:hideMark/>
          </w:tcPr>
          <w:p w14:paraId="51347DD4"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1 703 000</w:t>
            </w:r>
          </w:p>
        </w:tc>
      </w:tr>
      <w:tr w:rsidR="00B016A1" w:rsidRPr="00B016A1" w14:paraId="51347DDA"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D6"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339200</w:t>
            </w:r>
          </w:p>
        </w:tc>
        <w:tc>
          <w:tcPr>
            <w:tcW w:w="1240" w:type="dxa"/>
            <w:tcBorders>
              <w:top w:val="nil"/>
              <w:left w:val="nil"/>
              <w:bottom w:val="nil"/>
              <w:right w:val="dashed" w:sz="4" w:space="0" w:color="auto"/>
            </w:tcBorders>
            <w:shd w:val="clear" w:color="auto" w:fill="auto"/>
            <w:noWrap/>
            <w:vAlign w:val="center"/>
            <w:hideMark/>
          </w:tcPr>
          <w:p w14:paraId="51347DD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nil"/>
              <w:left w:val="nil"/>
              <w:bottom w:val="nil"/>
              <w:right w:val="dashed" w:sz="4" w:space="0" w:color="auto"/>
            </w:tcBorders>
            <w:shd w:val="clear" w:color="auto" w:fill="auto"/>
            <w:noWrap/>
            <w:vAlign w:val="center"/>
            <w:hideMark/>
          </w:tcPr>
          <w:p w14:paraId="51347DD8"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nil"/>
              <w:left w:val="nil"/>
              <w:bottom w:val="nil"/>
              <w:right w:val="single" w:sz="4" w:space="0" w:color="auto"/>
            </w:tcBorders>
            <w:shd w:val="clear" w:color="auto" w:fill="auto"/>
            <w:noWrap/>
            <w:vAlign w:val="center"/>
            <w:hideMark/>
          </w:tcPr>
          <w:p w14:paraId="51347DD9"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26 376 000</w:t>
            </w:r>
          </w:p>
        </w:tc>
      </w:tr>
      <w:tr w:rsidR="00B016A1" w:rsidRPr="00B016A1" w14:paraId="51347DDF"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DB"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339200</w:t>
            </w:r>
          </w:p>
        </w:tc>
        <w:tc>
          <w:tcPr>
            <w:tcW w:w="1240" w:type="dxa"/>
            <w:tcBorders>
              <w:top w:val="nil"/>
              <w:left w:val="nil"/>
              <w:bottom w:val="nil"/>
              <w:right w:val="dashed" w:sz="4" w:space="0" w:color="auto"/>
            </w:tcBorders>
            <w:shd w:val="clear" w:color="auto" w:fill="auto"/>
            <w:noWrap/>
            <w:vAlign w:val="center"/>
            <w:hideMark/>
          </w:tcPr>
          <w:p w14:paraId="51347DDC"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532</w:t>
            </w:r>
          </w:p>
        </w:tc>
        <w:tc>
          <w:tcPr>
            <w:tcW w:w="5422" w:type="dxa"/>
            <w:tcBorders>
              <w:top w:val="nil"/>
              <w:left w:val="nil"/>
              <w:bottom w:val="nil"/>
              <w:right w:val="dashed" w:sz="4" w:space="0" w:color="auto"/>
            </w:tcBorders>
            <w:shd w:val="clear" w:color="auto" w:fill="auto"/>
            <w:noWrap/>
            <w:vAlign w:val="center"/>
            <w:hideMark/>
          </w:tcPr>
          <w:p w14:paraId="51347DDD"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veřejným rozpočtům územní úrovně</w:t>
            </w:r>
          </w:p>
        </w:tc>
        <w:tc>
          <w:tcPr>
            <w:tcW w:w="1701" w:type="dxa"/>
            <w:tcBorders>
              <w:top w:val="nil"/>
              <w:left w:val="nil"/>
              <w:bottom w:val="nil"/>
              <w:right w:val="single" w:sz="4" w:space="0" w:color="auto"/>
            </w:tcBorders>
            <w:shd w:val="clear" w:color="auto" w:fill="auto"/>
            <w:noWrap/>
            <w:vAlign w:val="center"/>
            <w:hideMark/>
          </w:tcPr>
          <w:p w14:paraId="51347DDE"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8 004 000</w:t>
            </w:r>
          </w:p>
        </w:tc>
      </w:tr>
      <w:tr w:rsidR="00B016A1" w:rsidRPr="00B016A1" w14:paraId="51347DE4"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E0"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339200</w:t>
            </w:r>
          </w:p>
        </w:tc>
        <w:tc>
          <w:tcPr>
            <w:tcW w:w="1240" w:type="dxa"/>
            <w:tcBorders>
              <w:top w:val="nil"/>
              <w:left w:val="nil"/>
              <w:bottom w:val="nil"/>
              <w:right w:val="dashed" w:sz="4" w:space="0" w:color="auto"/>
            </w:tcBorders>
            <w:shd w:val="clear" w:color="auto" w:fill="auto"/>
            <w:noWrap/>
            <w:vAlign w:val="center"/>
            <w:hideMark/>
          </w:tcPr>
          <w:p w14:paraId="51347DE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nil"/>
              <w:right w:val="dashed" w:sz="4" w:space="0" w:color="auto"/>
            </w:tcBorders>
            <w:shd w:val="clear" w:color="auto" w:fill="auto"/>
            <w:noWrap/>
            <w:vAlign w:val="center"/>
            <w:hideMark/>
          </w:tcPr>
          <w:p w14:paraId="51347DE2"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nil"/>
              <w:left w:val="nil"/>
              <w:bottom w:val="nil"/>
              <w:right w:val="single" w:sz="4" w:space="0" w:color="auto"/>
            </w:tcBorders>
            <w:shd w:val="clear" w:color="auto" w:fill="auto"/>
            <w:noWrap/>
            <w:vAlign w:val="center"/>
            <w:hideMark/>
          </w:tcPr>
          <w:p w14:paraId="51347DE3"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5 819 000</w:t>
            </w:r>
          </w:p>
        </w:tc>
      </w:tr>
      <w:tr w:rsidR="00B016A1" w:rsidRPr="00B016A1" w14:paraId="51347DE9"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DE5"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339200</w:t>
            </w:r>
          </w:p>
        </w:tc>
        <w:tc>
          <w:tcPr>
            <w:tcW w:w="1240" w:type="dxa"/>
            <w:tcBorders>
              <w:top w:val="nil"/>
              <w:left w:val="nil"/>
              <w:bottom w:val="dashed" w:sz="4" w:space="0" w:color="auto"/>
              <w:right w:val="dashed" w:sz="4" w:space="0" w:color="auto"/>
            </w:tcBorders>
            <w:shd w:val="clear" w:color="auto" w:fill="auto"/>
            <w:noWrap/>
            <w:vAlign w:val="center"/>
            <w:hideMark/>
          </w:tcPr>
          <w:p w14:paraId="51347DE6"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549</w:t>
            </w:r>
          </w:p>
        </w:tc>
        <w:tc>
          <w:tcPr>
            <w:tcW w:w="5422" w:type="dxa"/>
            <w:tcBorders>
              <w:top w:val="nil"/>
              <w:left w:val="nil"/>
              <w:bottom w:val="dashed" w:sz="4" w:space="0" w:color="auto"/>
              <w:right w:val="dashed" w:sz="4" w:space="0" w:color="auto"/>
            </w:tcBorders>
            <w:shd w:val="clear" w:color="auto" w:fill="auto"/>
            <w:noWrap/>
            <w:vAlign w:val="center"/>
            <w:hideMark/>
          </w:tcPr>
          <w:p w14:paraId="51347DE7"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Ostatní neinvestiční transfery obyvatelstvu</w:t>
            </w:r>
          </w:p>
        </w:tc>
        <w:tc>
          <w:tcPr>
            <w:tcW w:w="1701" w:type="dxa"/>
            <w:tcBorders>
              <w:top w:val="nil"/>
              <w:left w:val="nil"/>
              <w:bottom w:val="dashed" w:sz="4" w:space="0" w:color="auto"/>
              <w:right w:val="single" w:sz="4" w:space="0" w:color="auto"/>
            </w:tcBorders>
            <w:shd w:val="clear" w:color="auto" w:fill="auto"/>
            <w:noWrap/>
            <w:vAlign w:val="center"/>
            <w:hideMark/>
          </w:tcPr>
          <w:p w14:paraId="51347DE8"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199 000</w:t>
            </w:r>
          </w:p>
        </w:tc>
      </w:tr>
      <w:tr w:rsidR="00B016A1" w:rsidRPr="00B016A1" w14:paraId="51347DED"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DEA"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339200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DEB"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Zájmová činnost v kultuře</w:t>
            </w:r>
          </w:p>
        </w:tc>
        <w:tc>
          <w:tcPr>
            <w:tcW w:w="1701" w:type="dxa"/>
            <w:tcBorders>
              <w:top w:val="nil"/>
              <w:left w:val="nil"/>
              <w:bottom w:val="nil"/>
              <w:right w:val="single" w:sz="4" w:space="0" w:color="auto"/>
            </w:tcBorders>
            <w:shd w:val="clear" w:color="auto" w:fill="auto"/>
            <w:noWrap/>
            <w:vAlign w:val="center"/>
            <w:hideMark/>
          </w:tcPr>
          <w:p w14:paraId="51347DEC"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42 101 000</w:t>
            </w:r>
          </w:p>
        </w:tc>
      </w:tr>
      <w:tr w:rsidR="00B016A1" w:rsidRPr="00B016A1" w14:paraId="51347DF2"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DEE"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339900</w:t>
            </w:r>
          </w:p>
        </w:tc>
        <w:tc>
          <w:tcPr>
            <w:tcW w:w="1240" w:type="dxa"/>
            <w:tcBorders>
              <w:top w:val="nil"/>
              <w:left w:val="nil"/>
              <w:bottom w:val="dashed" w:sz="4" w:space="0" w:color="auto"/>
              <w:right w:val="dashed" w:sz="4" w:space="0" w:color="auto"/>
            </w:tcBorders>
            <w:shd w:val="clear" w:color="auto" w:fill="auto"/>
            <w:noWrap/>
            <w:vAlign w:val="center"/>
            <w:hideMark/>
          </w:tcPr>
          <w:p w14:paraId="51347DEF"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nil"/>
              <w:left w:val="nil"/>
              <w:bottom w:val="dashed" w:sz="4" w:space="0" w:color="auto"/>
              <w:right w:val="dashed" w:sz="4" w:space="0" w:color="auto"/>
            </w:tcBorders>
            <w:shd w:val="clear" w:color="auto" w:fill="auto"/>
            <w:noWrap/>
            <w:vAlign w:val="center"/>
            <w:hideMark/>
          </w:tcPr>
          <w:p w14:paraId="51347DF0"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DF1"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2 400 000</w:t>
            </w:r>
          </w:p>
        </w:tc>
      </w:tr>
      <w:tr w:rsidR="00B016A1" w:rsidRPr="00B016A1" w14:paraId="51347DF6" w14:textId="77777777" w:rsidTr="00B016A1">
        <w:trPr>
          <w:trHeight w:val="559"/>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DF3"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339900</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DF4"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Ostatní záležitosti kultury, církví a sdělovacích prostředků</w:t>
            </w:r>
          </w:p>
        </w:tc>
        <w:tc>
          <w:tcPr>
            <w:tcW w:w="1701" w:type="dxa"/>
            <w:tcBorders>
              <w:top w:val="nil"/>
              <w:left w:val="nil"/>
              <w:bottom w:val="single" w:sz="4" w:space="0" w:color="auto"/>
              <w:right w:val="single" w:sz="4" w:space="0" w:color="auto"/>
            </w:tcBorders>
            <w:shd w:val="clear" w:color="auto" w:fill="auto"/>
            <w:noWrap/>
            <w:vAlign w:val="center"/>
            <w:hideMark/>
          </w:tcPr>
          <w:p w14:paraId="51347DF5"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2 400 000</w:t>
            </w:r>
          </w:p>
        </w:tc>
      </w:tr>
      <w:tr w:rsidR="00B016A1" w:rsidRPr="00B016A1" w14:paraId="51347DFB" w14:textId="77777777" w:rsidTr="0085383F">
        <w:trPr>
          <w:trHeight w:val="801"/>
        </w:trPr>
        <w:tc>
          <w:tcPr>
            <w:tcW w:w="1008" w:type="dxa"/>
            <w:tcBorders>
              <w:top w:val="nil"/>
              <w:left w:val="nil"/>
              <w:bottom w:val="nil"/>
              <w:right w:val="nil"/>
            </w:tcBorders>
            <w:shd w:val="clear" w:color="auto" w:fill="auto"/>
            <w:noWrap/>
            <w:vAlign w:val="bottom"/>
            <w:hideMark/>
          </w:tcPr>
          <w:p w14:paraId="51347DF7"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bottom"/>
            <w:hideMark/>
          </w:tcPr>
          <w:p w14:paraId="51347DF8"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505003</w:t>
            </w:r>
          </w:p>
        </w:tc>
        <w:tc>
          <w:tcPr>
            <w:tcW w:w="5422" w:type="dxa"/>
            <w:tcBorders>
              <w:top w:val="nil"/>
              <w:left w:val="nil"/>
              <w:bottom w:val="nil"/>
              <w:right w:val="nil"/>
            </w:tcBorders>
            <w:shd w:val="clear" w:color="auto" w:fill="auto"/>
            <w:noWrap/>
            <w:vAlign w:val="bottom"/>
            <w:hideMark/>
          </w:tcPr>
          <w:p w14:paraId="51347DF9"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Veřejné informační služby knihoven</w:t>
            </w:r>
          </w:p>
        </w:tc>
        <w:tc>
          <w:tcPr>
            <w:tcW w:w="1701" w:type="dxa"/>
            <w:tcBorders>
              <w:top w:val="nil"/>
              <w:left w:val="nil"/>
              <w:bottom w:val="nil"/>
              <w:right w:val="nil"/>
            </w:tcBorders>
            <w:shd w:val="clear" w:color="auto" w:fill="auto"/>
            <w:noWrap/>
            <w:vAlign w:val="bottom"/>
            <w:hideMark/>
          </w:tcPr>
          <w:p w14:paraId="51347DFA"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60 000 000</w:t>
            </w:r>
          </w:p>
        </w:tc>
      </w:tr>
      <w:tr w:rsidR="00B016A1" w:rsidRPr="00B016A1" w14:paraId="51347E00" w14:textId="77777777" w:rsidTr="00B016A1">
        <w:trPr>
          <w:trHeight w:val="360"/>
        </w:trPr>
        <w:tc>
          <w:tcPr>
            <w:tcW w:w="1008" w:type="dxa"/>
            <w:tcBorders>
              <w:top w:val="nil"/>
              <w:left w:val="nil"/>
              <w:bottom w:val="nil"/>
              <w:right w:val="nil"/>
            </w:tcBorders>
            <w:shd w:val="clear" w:color="auto" w:fill="auto"/>
            <w:noWrap/>
            <w:vAlign w:val="center"/>
            <w:hideMark/>
          </w:tcPr>
          <w:p w14:paraId="51347DFC"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 xml:space="preserve">v tom: </w:t>
            </w:r>
          </w:p>
        </w:tc>
        <w:tc>
          <w:tcPr>
            <w:tcW w:w="1240" w:type="dxa"/>
            <w:tcBorders>
              <w:top w:val="nil"/>
              <w:left w:val="nil"/>
              <w:bottom w:val="nil"/>
              <w:right w:val="nil"/>
            </w:tcBorders>
            <w:shd w:val="clear" w:color="auto" w:fill="auto"/>
            <w:noWrap/>
            <w:vAlign w:val="center"/>
            <w:hideMark/>
          </w:tcPr>
          <w:p w14:paraId="51347DFD"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1100000</w:t>
            </w:r>
          </w:p>
        </w:tc>
        <w:tc>
          <w:tcPr>
            <w:tcW w:w="5422" w:type="dxa"/>
            <w:tcBorders>
              <w:top w:val="nil"/>
              <w:left w:val="nil"/>
              <w:bottom w:val="nil"/>
              <w:right w:val="nil"/>
            </w:tcBorders>
            <w:shd w:val="clear" w:color="auto" w:fill="auto"/>
            <w:noWrap/>
            <w:vAlign w:val="center"/>
            <w:hideMark/>
          </w:tcPr>
          <w:p w14:paraId="51347DFE"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zdroj SR - základní</w:t>
            </w:r>
          </w:p>
        </w:tc>
        <w:tc>
          <w:tcPr>
            <w:tcW w:w="1701" w:type="dxa"/>
            <w:tcBorders>
              <w:top w:val="nil"/>
              <w:left w:val="nil"/>
              <w:bottom w:val="nil"/>
              <w:right w:val="nil"/>
            </w:tcBorders>
            <w:shd w:val="clear" w:color="auto" w:fill="auto"/>
            <w:noWrap/>
            <w:vAlign w:val="center"/>
            <w:hideMark/>
          </w:tcPr>
          <w:p w14:paraId="51347DFF"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60 000 000</w:t>
            </w:r>
          </w:p>
        </w:tc>
      </w:tr>
      <w:tr w:rsidR="00B016A1" w:rsidRPr="00B016A1" w14:paraId="51347E05"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E01"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Paragraf</w:t>
            </w:r>
          </w:p>
        </w:tc>
        <w:tc>
          <w:tcPr>
            <w:tcW w:w="1240" w:type="dxa"/>
            <w:tcBorders>
              <w:top w:val="single" w:sz="4" w:space="0" w:color="auto"/>
              <w:left w:val="nil"/>
              <w:bottom w:val="nil"/>
              <w:right w:val="dashed" w:sz="4" w:space="0" w:color="auto"/>
            </w:tcBorders>
            <w:shd w:val="clear" w:color="auto" w:fill="auto"/>
            <w:vAlign w:val="center"/>
            <w:hideMark/>
          </w:tcPr>
          <w:p w14:paraId="51347E02"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E03"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E04"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E0A"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E06"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331400</w:t>
            </w:r>
          </w:p>
        </w:tc>
        <w:tc>
          <w:tcPr>
            <w:tcW w:w="1240" w:type="dxa"/>
            <w:tcBorders>
              <w:top w:val="dashed" w:sz="4" w:space="0" w:color="auto"/>
              <w:left w:val="nil"/>
              <w:bottom w:val="nil"/>
              <w:right w:val="dashed" w:sz="4" w:space="0" w:color="auto"/>
            </w:tcBorders>
            <w:shd w:val="clear" w:color="auto" w:fill="auto"/>
            <w:noWrap/>
            <w:vAlign w:val="center"/>
            <w:hideMark/>
          </w:tcPr>
          <w:p w14:paraId="51347E0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dashed" w:sz="4" w:space="0" w:color="auto"/>
              <w:left w:val="nil"/>
              <w:bottom w:val="nil"/>
              <w:right w:val="dashed" w:sz="4" w:space="0" w:color="auto"/>
            </w:tcBorders>
            <w:shd w:val="clear" w:color="auto" w:fill="auto"/>
            <w:noWrap/>
            <w:vAlign w:val="center"/>
            <w:hideMark/>
          </w:tcPr>
          <w:p w14:paraId="51347E08"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dashed" w:sz="4" w:space="0" w:color="auto"/>
              <w:left w:val="nil"/>
              <w:bottom w:val="nil"/>
              <w:right w:val="single" w:sz="4" w:space="0" w:color="auto"/>
            </w:tcBorders>
            <w:shd w:val="clear" w:color="auto" w:fill="auto"/>
            <w:noWrap/>
            <w:vAlign w:val="center"/>
            <w:hideMark/>
          </w:tcPr>
          <w:p w14:paraId="51347E09"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350 000</w:t>
            </w:r>
          </w:p>
        </w:tc>
      </w:tr>
      <w:tr w:rsidR="00B016A1" w:rsidRPr="00B016A1" w14:paraId="51347E0F"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E0B"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331400</w:t>
            </w:r>
          </w:p>
        </w:tc>
        <w:tc>
          <w:tcPr>
            <w:tcW w:w="1240" w:type="dxa"/>
            <w:tcBorders>
              <w:top w:val="nil"/>
              <w:left w:val="nil"/>
              <w:bottom w:val="nil"/>
              <w:right w:val="dashed" w:sz="4" w:space="0" w:color="auto"/>
            </w:tcBorders>
            <w:shd w:val="clear" w:color="auto" w:fill="auto"/>
            <w:noWrap/>
            <w:vAlign w:val="center"/>
            <w:hideMark/>
          </w:tcPr>
          <w:p w14:paraId="51347E0C"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532</w:t>
            </w:r>
          </w:p>
        </w:tc>
        <w:tc>
          <w:tcPr>
            <w:tcW w:w="5422" w:type="dxa"/>
            <w:tcBorders>
              <w:top w:val="nil"/>
              <w:left w:val="nil"/>
              <w:bottom w:val="nil"/>
              <w:right w:val="dashed" w:sz="4" w:space="0" w:color="auto"/>
            </w:tcBorders>
            <w:shd w:val="clear" w:color="auto" w:fill="auto"/>
            <w:noWrap/>
            <w:vAlign w:val="center"/>
            <w:hideMark/>
          </w:tcPr>
          <w:p w14:paraId="51347E0D"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veřejným rozpočtům územní úrovně</w:t>
            </w:r>
          </w:p>
        </w:tc>
        <w:tc>
          <w:tcPr>
            <w:tcW w:w="1701" w:type="dxa"/>
            <w:tcBorders>
              <w:top w:val="nil"/>
              <w:left w:val="nil"/>
              <w:bottom w:val="nil"/>
              <w:right w:val="single" w:sz="4" w:space="0" w:color="auto"/>
            </w:tcBorders>
            <w:shd w:val="clear" w:color="auto" w:fill="auto"/>
            <w:noWrap/>
            <w:vAlign w:val="center"/>
            <w:hideMark/>
          </w:tcPr>
          <w:p w14:paraId="51347E0E"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21 000 000</w:t>
            </w:r>
          </w:p>
        </w:tc>
      </w:tr>
      <w:tr w:rsidR="00B016A1" w:rsidRPr="00B016A1" w14:paraId="51347E14"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E10"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331400</w:t>
            </w:r>
          </w:p>
        </w:tc>
        <w:tc>
          <w:tcPr>
            <w:tcW w:w="1240" w:type="dxa"/>
            <w:tcBorders>
              <w:top w:val="nil"/>
              <w:left w:val="nil"/>
              <w:bottom w:val="nil"/>
              <w:right w:val="dashed" w:sz="4" w:space="0" w:color="auto"/>
            </w:tcBorders>
            <w:shd w:val="clear" w:color="auto" w:fill="auto"/>
            <w:noWrap/>
            <w:vAlign w:val="center"/>
            <w:hideMark/>
          </w:tcPr>
          <w:p w14:paraId="51347E1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nil"/>
              <w:right w:val="dashed" w:sz="4" w:space="0" w:color="auto"/>
            </w:tcBorders>
            <w:shd w:val="clear" w:color="auto" w:fill="auto"/>
            <w:noWrap/>
            <w:vAlign w:val="center"/>
            <w:hideMark/>
          </w:tcPr>
          <w:p w14:paraId="51347E12"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nil"/>
              <w:left w:val="nil"/>
              <w:bottom w:val="nil"/>
              <w:right w:val="single" w:sz="4" w:space="0" w:color="auto"/>
            </w:tcBorders>
            <w:shd w:val="clear" w:color="auto" w:fill="auto"/>
            <w:noWrap/>
            <w:vAlign w:val="center"/>
            <w:hideMark/>
          </w:tcPr>
          <w:p w14:paraId="51347E13"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36 750 000</w:t>
            </w:r>
          </w:p>
        </w:tc>
      </w:tr>
      <w:tr w:rsidR="00B016A1" w:rsidRPr="00B016A1" w14:paraId="51347E19"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E15"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331400</w:t>
            </w:r>
          </w:p>
        </w:tc>
        <w:tc>
          <w:tcPr>
            <w:tcW w:w="1240" w:type="dxa"/>
            <w:tcBorders>
              <w:top w:val="nil"/>
              <w:left w:val="nil"/>
              <w:bottom w:val="dashed" w:sz="4" w:space="0" w:color="auto"/>
              <w:right w:val="dashed" w:sz="4" w:space="0" w:color="auto"/>
            </w:tcBorders>
            <w:shd w:val="clear" w:color="auto" w:fill="auto"/>
            <w:noWrap/>
            <w:vAlign w:val="center"/>
            <w:hideMark/>
          </w:tcPr>
          <w:p w14:paraId="51347E16"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634</w:t>
            </w:r>
          </w:p>
        </w:tc>
        <w:tc>
          <w:tcPr>
            <w:tcW w:w="5422" w:type="dxa"/>
            <w:tcBorders>
              <w:top w:val="nil"/>
              <w:left w:val="nil"/>
              <w:bottom w:val="dashed" w:sz="4" w:space="0" w:color="auto"/>
              <w:right w:val="dashed" w:sz="4" w:space="0" w:color="auto"/>
            </w:tcBorders>
            <w:shd w:val="clear" w:color="auto" w:fill="auto"/>
            <w:noWrap/>
            <w:vAlign w:val="center"/>
            <w:hideMark/>
          </w:tcPr>
          <w:p w14:paraId="51347E17"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Investiční transfery veřejným rozpočtům územní úrovně</w:t>
            </w:r>
          </w:p>
        </w:tc>
        <w:tc>
          <w:tcPr>
            <w:tcW w:w="1701" w:type="dxa"/>
            <w:tcBorders>
              <w:top w:val="nil"/>
              <w:left w:val="nil"/>
              <w:bottom w:val="dashed" w:sz="4" w:space="0" w:color="auto"/>
              <w:right w:val="single" w:sz="4" w:space="0" w:color="auto"/>
            </w:tcBorders>
            <w:shd w:val="clear" w:color="auto" w:fill="auto"/>
            <w:noWrap/>
            <w:vAlign w:val="center"/>
            <w:hideMark/>
          </w:tcPr>
          <w:p w14:paraId="51347E18"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1 900 000</w:t>
            </w:r>
          </w:p>
        </w:tc>
      </w:tr>
      <w:tr w:rsidR="00B016A1" w:rsidRPr="00B016A1" w14:paraId="51347E1D" w14:textId="77777777" w:rsidTr="00B016A1">
        <w:trPr>
          <w:trHeight w:val="360"/>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E1A"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331400</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E1B"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Činnosti knihovnické</w:t>
            </w:r>
          </w:p>
        </w:tc>
        <w:tc>
          <w:tcPr>
            <w:tcW w:w="1701" w:type="dxa"/>
            <w:tcBorders>
              <w:top w:val="nil"/>
              <w:left w:val="nil"/>
              <w:bottom w:val="single" w:sz="4" w:space="0" w:color="auto"/>
              <w:right w:val="single" w:sz="4" w:space="0" w:color="auto"/>
            </w:tcBorders>
            <w:shd w:val="clear" w:color="auto" w:fill="auto"/>
            <w:noWrap/>
            <w:vAlign w:val="center"/>
            <w:hideMark/>
          </w:tcPr>
          <w:p w14:paraId="51347E1C"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60 000 000</w:t>
            </w:r>
          </w:p>
        </w:tc>
      </w:tr>
      <w:tr w:rsidR="00B016A1" w:rsidRPr="00B016A1" w14:paraId="51347E22" w14:textId="77777777" w:rsidTr="00B016A1">
        <w:trPr>
          <w:trHeight w:val="600"/>
        </w:trPr>
        <w:tc>
          <w:tcPr>
            <w:tcW w:w="1008" w:type="dxa"/>
            <w:tcBorders>
              <w:top w:val="nil"/>
              <w:left w:val="nil"/>
              <w:bottom w:val="nil"/>
              <w:right w:val="nil"/>
            </w:tcBorders>
            <w:shd w:val="clear" w:color="auto" w:fill="auto"/>
            <w:noWrap/>
            <w:vAlign w:val="center"/>
            <w:hideMark/>
          </w:tcPr>
          <w:p w14:paraId="51347E1E" w14:textId="77777777" w:rsidR="00B016A1" w:rsidRPr="00B016A1" w:rsidRDefault="00B016A1" w:rsidP="00B016A1">
            <w:pPr>
              <w:spacing w:line="240" w:lineRule="auto"/>
              <w:jc w:val="center"/>
              <w:rPr>
                <w:rFonts w:ascii="Times New Roman" w:hAnsi="Times New Roman"/>
                <w:b/>
                <w:bCs/>
                <w:color w:val="000000"/>
                <w:sz w:val="22"/>
                <w:szCs w:val="22"/>
              </w:rPr>
            </w:pPr>
          </w:p>
        </w:tc>
        <w:tc>
          <w:tcPr>
            <w:tcW w:w="1240" w:type="dxa"/>
            <w:tcBorders>
              <w:top w:val="nil"/>
              <w:left w:val="nil"/>
              <w:bottom w:val="nil"/>
              <w:right w:val="nil"/>
            </w:tcBorders>
            <w:shd w:val="clear" w:color="auto" w:fill="auto"/>
            <w:noWrap/>
            <w:vAlign w:val="center"/>
            <w:hideMark/>
          </w:tcPr>
          <w:p w14:paraId="51347E1F" w14:textId="77777777" w:rsidR="00B016A1" w:rsidRPr="00B016A1" w:rsidRDefault="00B016A1" w:rsidP="00B016A1">
            <w:pPr>
              <w:spacing w:line="240" w:lineRule="auto"/>
              <w:jc w:val="left"/>
              <w:rPr>
                <w:rFonts w:ascii="Times New Roman" w:hAnsi="Times New Roman"/>
                <w:b/>
                <w:bCs/>
                <w:color w:val="000000"/>
                <w:sz w:val="22"/>
                <w:szCs w:val="22"/>
              </w:rPr>
            </w:pPr>
          </w:p>
        </w:tc>
        <w:tc>
          <w:tcPr>
            <w:tcW w:w="5422" w:type="dxa"/>
            <w:tcBorders>
              <w:top w:val="nil"/>
              <w:left w:val="nil"/>
              <w:bottom w:val="nil"/>
              <w:right w:val="nil"/>
            </w:tcBorders>
            <w:shd w:val="clear" w:color="auto" w:fill="auto"/>
            <w:noWrap/>
            <w:vAlign w:val="center"/>
            <w:hideMark/>
          </w:tcPr>
          <w:p w14:paraId="51347E20" w14:textId="77777777" w:rsidR="00B016A1" w:rsidRPr="00B016A1" w:rsidRDefault="00B016A1" w:rsidP="00B016A1">
            <w:pPr>
              <w:spacing w:line="240" w:lineRule="auto"/>
              <w:jc w:val="left"/>
              <w:rPr>
                <w:rFonts w:ascii="Times New Roman" w:hAnsi="Times New Roman"/>
                <w:b/>
                <w:bCs/>
                <w:color w:val="000000"/>
                <w:sz w:val="22"/>
                <w:szCs w:val="22"/>
              </w:rPr>
            </w:pPr>
          </w:p>
        </w:tc>
        <w:tc>
          <w:tcPr>
            <w:tcW w:w="1701" w:type="dxa"/>
            <w:tcBorders>
              <w:top w:val="nil"/>
              <w:left w:val="nil"/>
              <w:bottom w:val="nil"/>
              <w:right w:val="nil"/>
            </w:tcBorders>
            <w:shd w:val="clear" w:color="auto" w:fill="auto"/>
            <w:noWrap/>
            <w:vAlign w:val="center"/>
            <w:hideMark/>
          </w:tcPr>
          <w:p w14:paraId="51347E21" w14:textId="77777777" w:rsidR="00B016A1" w:rsidRPr="00B016A1" w:rsidRDefault="00B016A1" w:rsidP="00B016A1">
            <w:pPr>
              <w:spacing w:line="240" w:lineRule="auto"/>
              <w:jc w:val="left"/>
              <w:rPr>
                <w:rFonts w:ascii="Times New Roman" w:hAnsi="Times New Roman"/>
                <w:b/>
                <w:bCs/>
                <w:color w:val="000000"/>
                <w:sz w:val="22"/>
                <w:szCs w:val="22"/>
              </w:rPr>
            </w:pPr>
          </w:p>
        </w:tc>
      </w:tr>
      <w:tr w:rsidR="00B016A1" w:rsidRPr="00B016A1" w14:paraId="51347E26" w14:textId="77777777" w:rsidTr="00B016A1">
        <w:trPr>
          <w:trHeight w:val="600"/>
        </w:trPr>
        <w:tc>
          <w:tcPr>
            <w:tcW w:w="1008" w:type="dxa"/>
            <w:tcBorders>
              <w:top w:val="nil"/>
              <w:left w:val="nil"/>
              <w:bottom w:val="nil"/>
              <w:right w:val="nil"/>
            </w:tcBorders>
            <w:shd w:val="clear" w:color="auto" w:fill="auto"/>
            <w:noWrap/>
            <w:vAlign w:val="center"/>
            <w:hideMark/>
          </w:tcPr>
          <w:p w14:paraId="51347E23" w14:textId="77777777" w:rsidR="00B016A1" w:rsidRPr="00B016A1" w:rsidRDefault="00B016A1" w:rsidP="00B016A1">
            <w:pPr>
              <w:spacing w:line="240" w:lineRule="auto"/>
              <w:jc w:val="center"/>
              <w:rPr>
                <w:rFonts w:ascii="Times New Roman" w:hAnsi="Times New Roman"/>
                <w:b/>
                <w:bCs/>
                <w:color w:val="000000"/>
                <w:sz w:val="26"/>
                <w:szCs w:val="26"/>
              </w:rPr>
            </w:pPr>
            <w:r w:rsidRPr="00B016A1">
              <w:rPr>
                <w:rFonts w:ascii="Times New Roman" w:hAnsi="Times New Roman"/>
                <w:b/>
                <w:bCs/>
                <w:color w:val="000000"/>
                <w:sz w:val="26"/>
                <w:szCs w:val="26"/>
              </w:rPr>
              <w:lastRenderedPageBreak/>
              <w:t>BLOK</w:t>
            </w:r>
          </w:p>
        </w:tc>
        <w:tc>
          <w:tcPr>
            <w:tcW w:w="6662" w:type="dxa"/>
            <w:gridSpan w:val="2"/>
            <w:tcBorders>
              <w:top w:val="nil"/>
              <w:left w:val="nil"/>
              <w:bottom w:val="nil"/>
              <w:right w:val="nil"/>
            </w:tcBorders>
            <w:shd w:val="clear" w:color="auto" w:fill="auto"/>
            <w:vAlign w:val="center"/>
            <w:hideMark/>
          </w:tcPr>
          <w:p w14:paraId="51347E24" w14:textId="77777777" w:rsidR="00B016A1" w:rsidRPr="00B016A1" w:rsidRDefault="00B016A1" w:rsidP="00B016A1">
            <w:pPr>
              <w:spacing w:line="240" w:lineRule="auto"/>
              <w:jc w:val="left"/>
              <w:rPr>
                <w:rFonts w:ascii="Times New Roman" w:hAnsi="Times New Roman"/>
                <w:b/>
                <w:bCs/>
                <w:color w:val="000000"/>
                <w:sz w:val="26"/>
                <w:szCs w:val="26"/>
              </w:rPr>
            </w:pPr>
            <w:r w:rsidRPr="00B016A1">
              <w:rPr>
                <w:rFonts w:ascii="Times New Roman" w:hAnsi="Times New Roman"/>
                <w:b/>
                <w:bCs/>
                <w:color w:val="000000"/>
                <w:sz w:val="26"/>
                <w:szCs w:val="26"/>
              </w:rPr>
              <w:t>Záchrana a obnova kulturních památek, veřejné služby muzeí</w:t>
            </w:r>
          </w:p>
        </w:tc>
        <w:tc>
          <w:tcPr>
            <w:tcW w:w="1701" w:type="dxa"/>
            <w:tcBorders>
              <w:top w:val="nil"/>
              <w:left w:val="nil"/>
              <w:bottom w:val="nil"/>
              <w:right w:val="nil"/>
            </w:tcBorders>
            <w:shd w:val="clear" w:color="auto" w:fill="auto"/>
            <w:noWrap/>
            <w:vAlign w:val="center"/>
            <w:hideMark/>
          </w:tcPr>
          <w:p w14:paraId="51347E25" w14:textId="77777777" w:rsidR="00B016A1" w:rsidRPr="00B016A1" w:rsidRDefault="00B016A1" w:rsidP="00B016A1">
            <w:pPr>
              <w:spacing w:line="240" w:lineRule="auto"/>
              <w:jc w:val="right"/>
              <w:rPr>
                <w:rFonts w:ascii="Times New Roman" w:hAnsi="Times New Roman"/>
                <w:b/>
                <w:bCs/>
                <w:color w:val="000000"/>
                <w:sz w:val="26"/>
                <w:szCs w:val="26"/>
              </w:rPr>
            </w:pPr>
            <w:r w:rsidRPr="00B016A1">
              <w:rPr>
                <w:rFonts w:ascii="Times New Roman" w:hAnsi="Times New Roman"/>
                <w:b/>
                <w:bCs/>
                <w:color w:val="000000"/>
                <w:sz w:val="26"/>
                <w:szCs w:val="26"/>
              </w:rPr>
              <w:t>711 000 000</w:t>
            </w:r>
          </w:p>
        </w:tc>
      </w:tr>
      <w:tr w:rsidR="00B016A1" w:rsidRPr="00B016A1" w14:paraId="51347E2B" w14:textId="77777777" w:rsidTr="00B016A1">
        <w:trPr>
          <w:trHeight w:val="619"/>
        </w:trPr>
        <w:tc>
          <w:tcPr>
            <w:tcW w:w="1008" w:type="dxa"/>
            <w:tcBorders>
              <w:top w:val="nil"/>
              <w:left w:val="nil"/>
              <w:bottom w:val="nil"/>
              <w:right w:val="nil"/>
            </w:tcBorders>
            <w:shd w:val="clear" w:color="auto" w:fill="auto"/>
            <w:noWrap/>
            <w:vAlign w:val="bottom"/>
            <w:hideMark/>
          </w:tcPr>
          <w:p w14:paraId="51347E27"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bottom"/>
            <w:hideMark/>
          </w:tcPr>
          <w:p w14:paraId="51347E28"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506001</w:t>
            </w:r>
          </w:p>
        </w:tc>
        <w:tc>
          <w:tcPr>
            <w:tcW w:w="5422" w:type="dxa"/>
            <w:tcBorders>
              <w:top w:val="nil"/>
              <w:left w:val="nil"/>
              <w:bottom w:val="nil"/>
              <w:right w:val="nil"/>
            </w:tcBorders>
            <w:shd w:val="clear" w:color="auto" w:fill="auto"/>
            <w:noWrap/>
            <w:vAlign w:val="bottom"/>
            <w:hideMark/>
          </w:tcPr>
          <w:p w14:paraId="51347E29"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Programy podpory veřejných služeb v muzeích</w:t>
            </w:r>
          </w:p>
        </w:tc>
        <w:tc>
          <w:tcPr>
            <w:tcW w:w="1701" w:type="dxa"/>
            <w:tcBorders>
              <w:top w:val="nil"/>
              <w:left w:val="nil"/>
              <w:bottom w:val="nil"/>
              <w:right w:val="nil"/>
            </w:tcBorders>
            <w:shd w:val="clear" w:color="auto" w:fill="auto"/>
            <w:noWrap/>
            <w:vAlign w:val="bottom"/>
            <w:hideMark/>
          </w:tcPr>
          <w:p w14:paraId="51347E2A"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53 000 000</w:t>
            </w:r>
          </w:p>
        </w:tc>
      </w:tr>
      <w:tr w:rsidR="00B016A1" w:rsidRPr="00B016A1" w14:paraId="51347E30" w14:textId="77777777" w:rsidTr="00B016A1">
        <w:trPr>
          <w:trHeight w:val="360"/>
        </w:trPr>
        <w:tc>
          <w:tcPr>
            <w:tcW w:w="1008" w:type="dxa"/>
            <w:tcBorders>
              <w:top w:val="nil"/>
              <w:left w:val="nil"/>
              <w:bottom w:val="nil"/>
              <w:right w:val="nil"/>
            </w:tcBorders>
            <w:shd w:val="clear" w:color="auto" w:fill="auto"/>
            <w:noWrap/>
            <w:vAlign w:val="center"/>
            <w:hideMark/>
          </w:tcPr>
          <w:p w14:paraId="51347E2C"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 xml:space="preserve">v tom: </w:t>
            </w:r>
          </w:p>
        </w:tc>
        <w:tc>
          <w:tcPr>
            <w:tcW w:w="1240" w:type="dxa"/>
            <w:tcBorders>
              <w:top w:val="nil"/>
              <w:left w:val="nil"/>
              <w:bottom w:val="nil"/>
              <w:right w:val="nil"/>
            </w:tcBorders>
            <w:shd w:val="clear" w:color="auto" w:fill="auto"/>
            <w:noWrap/>
            <w:vAlign w:val="center"/>
            <w:hideMark/>
          </w:tcPr>
          <w:p w14:paraId="51347E2D"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1100000</w:t>
            </w:r>
          </w:p>
        </w:tc>
        <w:tc>
          <w:tcPr>
            <w:tcW w:w="5422" w:type="dxa"/>
            <w:tcBorders>
              <w:top w:val="nil"/>
              <w:left w:val="nil"/>
              <w:bottom w:val="nil"/>
              <w:right w:val="nil"/>
            </w:tcBorders>
            <w:shd w:val="clear" w:color="auto" w:fill="auto"/>
            <w:noWrap/>
            <w:vAlign w:val="center"/>
            <w:hideMark/>
          </w:tcPr>
          <w:p w14:paraId="51347E2E"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zdroj SR - základní</w:t>
            </w:r>
          </w:p>
        </w:tc>
        <w:tc>
          <w:tcPr>
            <w:tcW w:w="1701" w:type="dxa"/>
            <w:tcBorders>
              <w:top w:val="nil"/>
              <w:left w:val="nil"/>
              <w:bottom w:val="nil"/>
              <w:right w:val="nil"/>
            </w:tcBorders>
            <w:shd w:val="clear" w:color="auto" w:fill="auto"/>
            <w:noWrap/>
            <w:vAlign w:val="center"/>
            <w:hideMark/>
          </w:tcPr>
          <w:p w14:paraId="51347E2F"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53 000 000</w:t>
            </w:r>
          </w:p>
        </w:tc>
      </w:tr>
      <w:tr w:rsidR="00B016A1" w:rsidRPr="00B016A1" w14:paraId="51347E35"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E31"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Paragraf</w:t>
            </w:r>
          </w:p>
        </w:tc>
        <w:tc>
          <w:tcPr>
            <w:tcW w:w="1240" w:type="dxa"/>
            <w:tcBorders>
              <w:top w:val="single" w:sz="4" w:space="0" w:color="auto"/>
              <w:left w:val="nil"/>
              <w:bottom w:val="nil"/>
              <w:right w:val="dashed" w:sz="4" w:space="0" w:color="auto"/>
            </w:tcBorders>
            <w:shd w:val="clear" w:color="auto" w:fill="auto"/>
            <w:vAlign w:val="center"/>
            <w:hideMark/>
          </w:tcPr>
          <w:p w14:paraId="51347E32"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E33"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E34"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E3A"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E36"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331500</w:t>
            </w:r>
          </w:p>
        </w:tc>
        <w:tc>
          <w:tcPr>
            <w:tcW w:w="1240" w:type="dxa"/>
            <w:tcBorders>
              <w:top w:val="dashed" w:sz="4" w:space="0" w:color="auto"/>
              <w:left w:val="nil"/>
              <w:bottom w:val="nil"/>
              <w:right w:val="dashed" w:sz="4" w:space="0" w:color="auto"/>
            </w:tcBorders>
            <w:shd w:val="clear" w:color="auto" w:fill="auto"/>
            <w:noWrap/>
            <w:vAlign w:val="center"/>
            <w:hideMark/>
          </w:tcPr>
          <w:p w14:paraId="51347E3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532</w:t>
            </w:r>
          </w:p>
        </w:tc>
        <w:tc>
          <w:tcPr>
            <w:tcW w:w="5422" w:type="dxa"/>
            <w:tcBorders>
              <w:top w:val="dashed" w:sz="4" w:space="0" w:color="auto"/>
              <w:left w:val="nil"/>
              <w:bottom w:val="nil"/>
              <w:right w:val="dashed" w:sz="4" w:space="0" w:color="auto"/>
            </w:tcBorders>
            <w:shd w:val="clear" w:color="auto" w:fill="auto"/>
            <w:noWrap/>
            <w:vAlign w:val="center"/>
            <w:hideMark/>
          </w:tcPr>
          <w:p w14:paraId="51347E38"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veřejným rozpočtům územní úrovně</w:t>
            </w:r>
          </w:p>
        </w:tc>
        <w:tc>
          <w:tcPr>
            <w:tcW w:w="1701" w:type="dxa"/>
            <w:tcBorders>
              <w:top w:val="dashed" w:sz="4" w:space="0" w:color="auto"/>
              <w:left w:val="nil"/>
              <w:bottom w:val="nil"/>
              <w:right w:val="single" w:sz="4" w:space="0" w:color="auto"/>
            </w:tcBorders>
            <w:shd w:val="clear" w:color="auto" w:fill="auto"/>
            <w:noWrap/>
            <w:vAlign w:val="center"/>
            <w:hideMark/>
          </w:tcPr>
          <w:p w14:paraId="51347E39"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1 500 000</w:t>
            </w:r>
          </w:p>
        </w:tc>
      </w:tr>
      <w:tr w:rsidR="00B016A1" w:rsidRPr="00B016A1" w14:paraId="51347E3F"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E3B"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331500</w:t>
            </w:r>
          </w:p>
        </w:tc>
        <w:tc>
          <w:tcPr>
            <w:tcW w:w="1240" w:type="dxa"/>
            <w:tcBorders>
              <w:top w:val="nil"/>
              <w:left w:val="nil"/>
              <w:bottom w:val="dashed" w:sz="4" w:space="0" w:color="auto"/>
              <w:right w:val="dashed" w:sz="4" w:space="0" w:color="auto"/>
            </w:tcBorders>
            <w:shd w:val="clear" w:color="auto" w:fill="auto"/>
            <w:noWrap/>
            <w:vAlign w:val="center"/>
            <w:hideMark/>
          </w:tcPr>
          <w:p w14:paraId="51347E3C"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dashed" w:sz="4" w:space="0" w:color="auto"/>
              <w:right w:val="dashed" w:sz="4" w:space="0" w:color="auto"/>
            </w:tcBorders>
            <w:shd w:val="clear" w:color="auto" w:fill="auto"/>
            <w:noWrap/>
            <w:vAlign w:val="center"/>
            <w:hideMark/>
          </w:tcPr>
          <w:p w14:paraId="51347E3D"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nil"/>
              <w:left w:val="nil"/>
              <w:bottom w:val="dashed" w:sz="4" w:space="0" w:color="auto"/>
              <w:right w:val="single" w:sz="4" w:space="0" w:color="auto"/>
            </w:tcBorders>
            <w:shd w:val="clear" w:color="auto" w:fill="auto"/>
            <w:noWrap/>
            <w:vAlign w:val="center"/>
            <w:hideMark/>
          </w:tcPr>
          <w:p w14:paraId="51347E3E"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7 000 000</w:t>
            </w:r>
          </w:p>
        </w:tc>
      </w:tr>
      <w:tr w:rsidR="00B016A1" w:rsidRPr="00B016A1" w14:paraId="51347E43"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E40"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331500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E41"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Činnosti muzeí a galerií</w:t>
            </w:r>
          </w:p>
        </w:tc>
        <w:tc>
          <w:tcPr>
            <w:tcW w:w="1701" w:type="dxa"/>
            <w:tcBorders>
              <w:top w:val="nil"/>
              <w:left w:val="nil"/>
              <w:bottom w:val="nil"/>
              <w:right w:val="single" w:sz="4" w:space="0" w:color="auto"/>
            </w:tcBorders>
            <w:shd w:val="clear" w:color="auto" w:fill="auto"/>
            <w:noWrap/>
            <w:vAlign w:val="center"/>
            <w:hideMark/>
          </w:tcPr>
          <w:p w14:paraId="51347E42"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8 500 000</w:t>
            </w:r>
          </w:p>
        </w:tc>
      </w:tr>
      <w:tr w:rsidR="00B016A1" w:rsidRPr="00B016A1" w14:paraId="51347E48"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E44"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331900</w:t>
            </w:r>
          </w:p>
        </w:tc>
        <w:tc>
          <w:tcPr>
            <w:tcW w:w="1240" w:type="dxa"/>
            <w:tcBorders>
              <w:top w:val="nil"/>
              <w:left w:val="nil"/>
              <w:bottom w:val="dashed" w:sz="4" w:space="0" w:color="auto"/>
              <w:right w:val="dashed" w:sz="4" w:space="0" w:color="auto"/>
            </w:tcBorders>
            <w:shd w:val="clear" w:color="auto" w:fill="auto"/>
            <w:noWrap/>
            <w:vAlign w:val="center"/>
            <w:hideMark/>
          </w:tcPr>
          <w:p w14:paraId="51347E45"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dashed" w:sz="4" w:space="0" w:color="auto"/>
              <w:right w:val="dashed" w:sz="4" w:space="0" w:color="auto"/>
            </w:tcBorders>
            <w:shd w:val="clear" w:color="auto" w:fill="auto"/>
            <w:noWrap/>
            <w:vAlign w:val="center"/>
            <w:hideMark/>
          </w:tcPr>
          <w:p w14:paraId="51347E46"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E47"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2 500 000</w:t>
            </w:r>
          </w:p>
        </w:tc>
      </w:tr>
      <w:tr w:rsidR="00B016A1" w:rsidRPr="00B016A1" w14:paraId="51347E4C"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E49"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331900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E4A"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Ostatní záležitosti kultury</w:t>
            </w:r>
          </w:p>
        </w:tc>
        <w:tc>
          <w:tcPr>
            <w:tcW w:w="1701" w:type="dxa"/>
            <w:tcBorders>
              <w:top w:val="nil"/>
              <w:left w:val="nil"/>
              <w:bottom w:val="nil"/>
              <w:right w:val="single" w:sz="4" w:space="0" w:color="auto"/>
            </w:tcBorders>
            <w:shd w:val="clear" w:color="auto" w:fill="auto"/>
            <w:noWrap/>
            <w:vAlign w:val="center"/>
            <w:hideMark/>
          </w:tcPr>
          <w:p w14:paraId="51347E4B"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2 500 000</w:t>
            </w:r>
          </w:p>
        </w:tc>
      </w:tr>
      <w:tr w:rsidR="00B016A1" w:rsidRPr="00B016A1" w14:paraId="51347E51"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E4D"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332400</w:t>
            </w:r>
          </w:p>
        </w:tc>
        <w:tc>
          <w:tcPr>
            <w:tcW w:w="1240" w:type="dxa"/>
            <w:tcBorders>
              <w:top w:val="nil"/>
              <w:left w:val="nil"/>
              <w:bottom w:val="nil"/>
              <w:right w:val="dashed" w:sz="4" w:space="0" w:color="auto"/>
            </w:tcBorders>
            <w:shd w:val="clear" w:color="auto" w:fill="auto"/>
            <w:noWrap/>
            <w:vAlign w:val="center"/>
            <w:hideMark/>
          </w:tcPr>
          <w:p w14:paraId="51347E4E"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532</w:t>
            </w:r>
          </w:p>
        </w:tc>
        <w:tc>
          <w:tcPr>
            <w:tcW w:w="5422" w:type="dxa"/>
            <w:tcBorders>
              <w:top w:val="nil"/>
              <w:left w:val="nil"/>
              <w:bottom w:val="nil"/>
              <w:right w:val="dashed" w:sz="4" w:space="0" w:color="auto"/>
            </w:tcBorders>
            <w:shd w:val="clear" w:color="auto" w:fill="auto"/>
            <w:noWrap/>
            <w:vAlign w:val="center"/>
            <w:hideMark/>
          </w:tcPr>
          <w:p w14:paraId="51347E4F"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veřejným rozpočtům územní úrovně</w:t>
            </w:r>
          </w:p>
        </w:tc>
        <w:tc>
          <w:tcPr>
            <w:tcW w:w="1701" w:type="dxa"/>
            <w:tcBorders>
              <w:top w:val="dashed" w:sz="4" w:space="0" w:color="auto"/>
              <w:left w:val="nil"/>
              <w:bottom w:val="nil"/>
              <w:right w:val="single" w:sz="4" w:space="0" w:color="auto"/>
            </w:tcBorders>
            <w:shd w:val="clear" w:color="auto" w:fill="auto"/>
            <w:noWrap/>
            <w:vAlign w:val="center"/>
            <w:hideMark/>
          </w:tcPr>
          <w:p w14:paraId="51347E50"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4 000 000</w:t>
            </w:r>
          </w:p>
        </w:tc>
      </w:tr>
      <w:tr w:rsidR="00B016A1" w:rsidRPr="00B016A1" w14:paraId="51347E56"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E52"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332400</w:t>
            </w:r>
          </w:p>
        </w:tc>
        <w:tc>
          <w:tcPr>
            <w:tcW w:w="1240" w:type="dxa"/>
            <w:tcBorders>
              <w:top w:val="nil"/>
              <w:left w:val="nil"/>
              <w:bottom w:val="nil"/>
              <w:right w:val="dashed" w:sz="4" w:space="0" w:color="auto"/>
            </w:tcBorders>
            <w:shd w:val="clear" w:color="auto" w:fill="auto"/>
            <w:noWrap/>
            <w:vAlign w:val="center"/>
            <w:hideMark/>
          </w:tcPr>
          <w:p w14:paraId="51347E53"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nil"/>
              <w:right w:val="dashed" w:sz="4" w:space="0" w:color="auto"/>
            </w:tcBorders>
            <w:shd w:val="clear" w:color="auto" w:fill="auto"/>
            <w:noWrap/>
            <w:vAlign w:val="center"/>
            <w:hideMark/>
          </w:tcPr>
          <w:p w14:paraId="51347E54"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nil"/>
              <w:left w:val="nil"/>
              <w:bottom w:val="nil"/>
              <w:right w:val="single" w:sz="4" w:space="0" w:color="auto"/>
            </w:tcBorders>
            <w:shd w:val="clear" w:color="auto" w:fill="auto"/>
            <w:noWrap/>
            <w:vAlign w:val="center"/>
            <w:hideMark/>
          </w:tcPr>
          <w:p w14:paraId="51347E55"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9 000 000</w:t>
            </w:r>
          </w:p>
        </w:tc>
      </w:tr>
      <w:tr w:rsidR="00B016A1" w:rsidRPr="00B016A1" w14:paraId="51347E5B"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E5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332400</w:t>
            </w:r>
          </w:p>
        </w:tc>
        <w:tc>
          <w:tcPr>
            <w:tcW w:w="1240" w:type="dxa"/>
            <w:tcBorders>
              <w:top w:val="nil"/>
              <w:left w:val="nil"/>
              <w:bottom w:val="dashed" w:sz="4" w:space="0" w:color="auto"/>
              <w:right w:val="dashed" w:sz="4" w:space="0" w:color="auto"/>
            </w:tcBorders>
            <w:shd w:val="clear" w:color="auto" w:fill="auto"/>
            <w:noWrap/>
            <w:vAlign w:val="center"/>
            <w:hideMark/>
          </w:tcPr>
          <w:p w14:paraId="51347E58"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635</w:t>
            </w:r>
          </w:p>
        </w:tc>
        <w:tc>
          <w:tcPr>
            <w:tcW w:w="5422" w:type="dxa"/>
            <w:tcBorders>
              <w:top w:val="nil"/>
              <w:left w:val="nil"/>
              <w:bottom w:val="dashed" w:sz="4" w:space="0" w:color="auto"/>
              <w:right w:val="dashed" w:sz="4" w:space="0" w:color="auto"/>
            </w:tcBorders>
            <w:shd w:val="clear" w:color="auto" w:fill="auto"/>
            <w:noWrap/>
            <w:vAlign w:val="center"/>
            <w:hideMark/>
          </w:tcPr>
          <w:p w14:paraId="51347E59"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Investiční transfery příspěvkovým a podobným organizacím</w:t>
            </w:r>
          </w:p>
        </w:tc>
        <w:tc>
          <w:tcPr>
            <w:tcW w:w="1701" w:type="dxa"/>
            <w:tcBorders>
              <w:top w:val="nil"/>
              <w:left w:val="nil"/>
              <w:bottom w:val="dashed" w:sz="4" w:space="0" w:color="auto"/>
              <w:right w:val="single" w:sz="4" w:space="0" w:color="auto"/>
            </w:tcBorders>
            <w:shd w:val="clear" w:color="auto" w:fill="auto"/>
            <w:noWrap/>
            <w:vAlign w:val="center"/>
            <w:hideMark/>
          </w:tcPr>
          <w:p w14:paraId="51347E5A"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2 100 000</w:t>
            </w:r>
          </w:p>
        </w:tc>
      </w:tr>
      <w:tr w:rsidR="00B016A1" w:rsidRPr="00B016A1" w14:paraId="51347E5F"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E5C"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332400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E5D"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Výkup předmětů kulturní hodnoty</w:t>
            </w:r>
          </w:p>
        </w:tc>
        <w:tc>
          <w:tcPr>
            <w:tcW w:w="1701" w:type="dxa"/>
            <w:tcBorders>
              <w:top w:val="nil"/>
              <w:left w:val="nil"/>
              <w:bottom w:val="nil"/>
              <w:right w:val="single" w:sz="4" w:space="0" w:color="auto"/>
            </w:tcBorders>
            <w:shd w:val="clear" w:color="auto" w:fill="auto"/>
            <w:noWrap/>
            <w:vAlign w:val="center"/>
            <w:hideMark/>
          </w:tcPr>
          <w:p w14:paraId="51347E5E"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15 100 000</w:t>
            </w:r>
          </w:p>
        </w:tc>
      </w:tr>
      <w:tr w:rsidR="00B016A1" w:rsidRPr="00B016A1" w14:paraId="51347E64"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E60"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332900</w:t>
            </w:r>
          </w:p>
        </w:tc>
        <w:tc>
          <w:tcPr>
            <w:tcW w:w="1240" w:type="dxa"/>
            <w:tcBorders>
              <w:top w:val="nil"/>
              <w:left w:val="nil"/>
              <w:bottom w:val="nil"/>
              <w:right w:val="dashed" w:sz="4" w:space="0" w:color="auto"/>
            </w:tcBorders>
            <w:shd w:val="clear" w:color="auto" w:fill="auto"/>
            <w:noWrap/>
            <w:vAlign w:val="center"/>
            <w:hideMark/>
          </w:tcPr>
          <w:p w14:paraId="51347E6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532</w:t>
            </w:r>
          </w:p>
        </w:tc>
        <w:tc>
          <w:tcPr>
            <w:tcW w:w="5422" w:type="dxa"/>
            <w:tcBorders>
              <w:top w:val="nil"/>
              <w:left w:val="nil"/>
              <w:bottom w:val="nil"/>
              <w:right w:val="dashed" w:sz="4" w:space="0" w:color="auto"/>
            </w:tcBorders>
            <w:shd w:val="clear" w:color="auto" w:fill="auto"/>
            <w:noWrap/>
            <w:vAlign w:val="center"/>
            <w:hideMark/>
          </w:tcPr>
          <w:p w14:paraId="51347E62"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veřejným rozpočtům územní úrovně</w:t>
            </w:r>
          </w:p>
        </w:tc>
        <w:tc>
          <w:tcPr>
            <w:tcW w:w="1701" w:type="dxa"/>
            <w:tcBorders>
              <w:top w:val="dashed" w:sz="4" w:space="0" w:color="auto"/>
              <w:left w:val="nil"/>
              <w:bottom w:val="nil"/>
              <w:right w:val="single" w:sz="4" w:space="0" w:color="auto"/>
            </w:tcBorders>
            <w:shd w:val="clear" w:color="auto" w:fill="auto"/>
            <w:noWrap/>
            <w:vAlign w:val="center"/>
            <w:hideMark/>
          </w:tcPr>
          <w:p w14:paraId="51347E63"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9 000 000</w:t>
            </w:r>
          </w:p>
        </w:tc>
      </w:tr>
      <w:tr w:rsidR="00B016A1" w:rsidRPr="00B016A1" w14:paraId="51347E69"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E65"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332900</w:t>
            </w:r>
          </w:p>
        </w:tc>
        <w:tc>
          <w:tcPr>
            <w:tcW w:w="1240" w:type="dxa"/>
            <w:tcBorders>
              <w:top w:val="nil"/>
              <w:left w:val="nil"/>
              <w:bottom w:val="nil"/>
              <w:right w:val="dashed" w:sz="4" w:space="0" w:color="auto"/>
            </w:tcBorders>
            <w:shd w:val="clear" w:color="auto" w:fill="auto"/>
            <w:noWrap/>
            <w:vAlign w:val="center"/>
            <w:hideMark/>
          </w:tcPr>
          <w:p w14:paraId="51347E66"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nil"/>
              <w:right w:val="dashed" w:sz="4" w:space="0" w:color="auto"/>
            </w:tcBorders>
            <w:shd w:val="clear" w:color="auto" w:fill="auto"/>
            <w:noWrap/>
            <w:vAlign w:val="center"/>
            <w:hideMark/>
          </w:tcPr>
          <w:p w14:paraId="51347E67"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nil"/>
              <w:left w:val="nil"/>
              <w:bottom w:val="nil"/>
              <w:right w:val="single" w:sz="4" w:space="0" w:color="auto"/>
            </w:tcBorders>
            <w:shd w:val="clear" w:color="auto" w:fill="auto"/>
            <w:noWrap/>
            <w:vAlign w:val="center"/>
            <w:hideMark/>
          </w:tcPr>
          <w:p w14:paraId="51347E68"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2 000 000</w:t>
            </w:r>
          </w:p>
        </w:tc>
      </w:tr>
      <w:tr w:rsidR="00B016A1" w:rsidRPr="00B016A1" w14:paraId="51347E6E"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E6A"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332900</w:t>
            </w:r>
          </w:p>
        </w:tc>
        <w:tc>
          <w:tcPr>
            <w:tcW w:w="1240" w:type="dxa"/>
            <w:tcBorders>
              <w:top w:val="nil"/>
              <w:left w:val="nil"/>
              <w:bottom w:val="nil"/>
              <w:right w:val="dashed" w:sz="4" w:space="0" w:color="auto"/>
            </w:tcBorders>
            <w:shd w:val="clear" w:color="auto" w:fill="auto"/>
            <w:noWrap/>
            <w:vAlign w:val="center"/>
            <w:hideMark/>
          </w:tcPr>
          <w:p w14:paraId="51347E6B"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632</w:t>
            </w:r>
          </w:p>
        </w:tc>
        <w:tc>
          <w:tcPr>
            <w:tcW w:w="5422" w:type="dxa"/>
            <w:tcBorders>
              <w:top w:val="nil"/>
              <w:left w:val="nil"/>
              <w:bottom w:val="nil"/>
              <w:right w:val="dashed" w:sz="4" w:space="0" w:color="auto"/>
            </w:tcBorders>
            <w:shd w:val="clear" w:color="auto" w:fill="auto"/>
            <w:noWrap/>
            <w:vAlign w:val="center"/>
            <w:hideMark/>
          </w:tcPr>
          <w:p w14:paraId="51347E6C"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Investiční transfery neziskovým a podobným organizacím</w:t>
            </w:r>
          </w:p>
        </w:tc>
        <w:tc>
          <w:tcPr>
            <w:tcW w:w="1701" w:type="dxa"/>
            <w:tcBorders>
              <w:top w:val="nil"/>
              <w:left w:val="nil"/>
              <w:bottom w:val="nil"/>
              <w:right w:val="single" w:sz="4" w:space="0" w:color="auto"/>
            </w:tcBorders>
            <w:shd w:val="clear" w:color="auto" w:fill="auto"/>
            <w:noWrap/>
            <w:vAlign w:val="center"/>
            <w:hideMark/>
          </w:tcPr>
          <w:p w14:paraId="51347E6D"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5 500 000</w:t>
            </w:r>
          </w:p>
        </w:tc>
      </w:tr>
      <w:tr w:rsidR="00B016A1" w:rsidRPr="00B016A1" w14:paraId="51347E73"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E6F"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332900</w:t>
            </w:r>
          </w:p>
        </w:tc>
        <w:tc>
          <w:tcPr>
            <w:tcW w:w="1240" w:type="dxa"/>
            <w:tcBorders>
              <w:top w:val="nil"/>
              <w:left w:val="nil"/>
              <w:bottom w:val="dashed" w:sz="4" w:space="0" w:color="auto"/>
              <w:right w:val="dashed" w:sz="4" w:space="0" w:color="auto"/>
            </w:tcBorders>
            <w:shd w:val="clear" w:color="auto" w:fill="auto"/>
            <w:noWrap/>
            <w:vAlign w:val="center"/>
            <w:hideMark/>
          </w:tcPr>
          <w:p w14:paraId="51347E70"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635</w:t>
            </w:r>
          </w:p>
        </w:tc>
        <w:tc>
          <w:tcPr>
            <w:tcW w:w="5422" w:type="dxa"/>
            <w:tcBorders>
              <w:top w:val="nil"/>
              <w:left w:val="nil"/>
              <w:bottom w:val="dashed" w:sz="4" w:space="0" w:color="auto"/>
              <w:right w:val="dashed" w:sz="4" w:space="0" w:color="auto"/>
            </w:tcBorders>
            <w:shd w:val="clear" w:color="auto" w:fill="auto"/>
            <w:noWrap/>
            <w:vAlign w:val="center"/>
            <w:hideMark/>
          </w:tcPr>
          <w:p w14:paraId="51347E71"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Investiční transfery příspěvkovým a podobným organizacím</w:t>
            </w:r>
          </w:p>
        </w:tc>
        <w:tc>
          <w:tcPr>
            <w:tcW w:w="1701" w:type="dxa"/>
            <w:tcBorders>
              <w:top w:val="nil"/>
              <w:left w:val="nil"/>
              <w:bottom w:val="dashed" w:sz="4" w:space="0" w:color="auto"/>
              <w:right w:val="single" w:sz="4" w:space="0" w:color="auto"/>
            </w:tcBorders>
            <w:shd w:val="clear" w:color="auto" w:fill="auto"/>
            <w:noWrap/>
            <w:vAlign w:val="center"/>
            <w:hideMark/>
          </w:tcPr>
          <w:p w14:paraId="51347E72"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10 400 000</w:t>
            </w:r>
          </w:p>
        </w:tc>
      </w:tr>
      <w:tr w:rsidR="00B016A1" w:rsidRPr="00B016A1" w14:paraId="51347E77" w14:textId="77777777" w:rsidTr="00B016A1">
        <w:trPr>
          <w:trHeight w:val="559"/>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E74"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332900</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E75"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Ostatní záležitosti ochrany památek a péče o kulturní dědictví</w:t>
            </w:r>
          </w:p>
        </w:tc>
        <w:tc>
          <w:tcPr>
            <w:tcW w:w="1701" w:type="dxa"/>
            <w:tcBorders>
              <w:top w:val="nil"/>
              <w:left w:val="nil"/>
              <w:bottom w:val="single" w:sz="4" w:space="0" w:color="auto"/>
              <w:right w:val="single" w:sz="4" w:space="0" w:color="auto"/>
            </w:tcBorders>
            <w:shd w:val="clear" w:color="auto" w:fill="auto"/>
            <w:noWrap/>
            <w:vAlign w:val="center"/>
            <w:hideMark/>
          </w:tcPr>
          <w:p w14:paraId="51347E76"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26 900 000</w:t>
            </w:r>
          </w:p>
        </w:tc>
      </w:tr>
      <w:tr w:rsidR="00B016A1" w:rsidRPr="00B016A1" w14:paraId="51347E7C" w14:textId="77777777" w:rsidTr="00B016A1">
        <w:trPr>
          <w:trHeight w:val="619"/>
        </w:trPr>
        <w:tc>
          <w:tcPr>
            <w:tcW w:w="1008" w:type="dxa"/>
            <w:tcBorders>
              <w:top w:val="nil"/>
              <w:left w:val="nil"/>
              <w:bottom w:val="nil"/>
              <w:right w:val="nil"/>
            </w:tcBorders>
            <w:shd w:val="clear" w:color="auto" w:fill="auto"/>
            <w:noWrap/>
            <w:vAlign w:val="center"/>
            <w:hideMark/>
          </w:tcPr>
          <w:p w14:paraId="51347E78"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center"/>
            <w:hideMark/>
          </w:tcPr>
          <w:p w14:paraId="51347E79"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506002</w:t>
            </w:r>
          </w:p>
        </w:tc>
        <w:tc>
          <w:tcPr>
            <w:tcW w:w="5422" w:type="dxa"/>
            <w:tcBorders>
              <w:top w:val="nil"/>
              <w:left w:val="nil"/>
              <w:bottom w:val="nil"/>
              <w:right w:val="nil"/>
            </w:tcBorders>
            <w:shd w:val="clear" w:color="auto" w:fill="auto"/>
            <w:noWrap/>
            <w:vAlign w:val="center"/>
            <w:hideMark/>
          </w:tcPr>
          <w:p w14:paraId="51347E7A"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Programy na záchranu a obnovu kulturních památek</w:t>
            </w:r>
          </w:p>
        </w:tc>
        <w:tc>
          <w:tcPr>
            <w:tcW w:w="1701" w:type="dxa"/>
            <w:tcBorders>
              <w:top w:val="nil"/>
              <w:left w:val="nil"/>
              <w:bottom w:val="nil"/>
              <w:right w:val="nil"/>
            </w:tcBorders>
            <w:shd w:val="clear" w:color="auto" w:fill="auto"/>
            <w:noWrap/>
            <w:vAlign w:val="center"/>
            <w:hideMark/>
          </w:tcPr>
          <w:p w14:paraId="51347E7B"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658 000 000</w:t>
            </w:r>
          </w:p>
        </w:tc>
      </w:tr>
      <w:tr w:rsidR="00B016A1" w:rsidRPr="00B016A1" w14:paraId="51347E81" w14:textId="77777777" w:rsidTr="00B016A1">
        <w:trPr>
          <w:trHeight w:val="360"/>
        </w:trPr>
        <w:tc>
          <w:tcPr>
            <w:tcW w:w="1008" w:type="dxa"/>
            <w:tcBorders>
              <w:top w:val="nil"/>
              <w:left w:val="nil"/>
              <w:bottom w:val="nil"/>
              <w:right w:val="nil"/>
            </w:tcBorders>
            <w:shd w:val="clear" w:color="auto" w:fill="auto"/>
            <w:noWrap/>
            <w:vAlign w:val="center"/>
            <w:hideMark/>
          </w:tcPr>
          <w:p w14:paraId="51347E7D"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v tom: zdroj</w:t>
            </w:r>
          </w:p>
        </w:tc>
        <w:tc>
          <w:tcPr>
            <w:tcW w:w="1240" w:type="dxa"/>
            <w:tcBorders>
              <w:top w:val="nil"/>
              <w:left w:val="nil"/>
              <w:bottom w:val="nil"/>
              <w:right w:val="nil"/>
            </w:tcBorders>
            <w:shd w:val="clear" w:color="auto" w:fill="auto"/>
            <w:noWrap/>
            <w:vAlign w:val="center"/>
            <w:hideMark/>
          </w:tcPr>
          <w:p w14:paraId="51347E7E"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1100000</w:t>
            </w:r>
          </w:p>
        </w:tc>
        <w:tc>
          <w:tcPr>
            <w:tcW w:w="5422" w:type="dxa"/>
            <w:tcBorders>
              <w:top w:val="nil"/>
              <w:left w:val="nil"/>
              <w:bottom w:val="nil"/>
              <w:right w:val="nil"/>
            </w:tcBorders>
            <w:shd w:val="clear" w:color="auto" w:fill="auto"/>
            <w:noWrap/>
            <w:vAlign w:val="center"/>
            <w:hideMark/>
          </w:tcPr>
          <w:p w14:paraId="51347E7F"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SR - základní</w:t>
            </w:r>
          </w:p>
        </w:tc>
        <w:tc>
          <w:tcPr>
            <w:tcW w:w="1701" w:type="dxa"/>
            <w:tcBorders>
              <w:top w:val="nil"/>
              <w:left w:val="nil"/>
              <w:bottom w:val="nil"/>
              <w:right w:val="nil"/>
            </w:tcBorders>
            <w:shd w:val="clear" w:color="auto" w:fill="auto"/>
            <w:noWrap/>
            <w:vAlign w:val="center"/>
            <w:hideMark/>
          </w:tcPr>
          <w:p w14:paraId="51347E80"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658 000 000</w:t>
            </w:r>
          </w:p>
        </w:tc>
      </w:tr>
      <w:tr w:rsidR="00B016A1" w:rsidRPr="00B016A1" w14:paraId="51347E86"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E82"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Paragraf</w:t>
            </w:r>
          </w:p>
        </w:tc>
        <w:tc>
          <w:tcPr>
            <w:tcW w:w="1240" w:type="dxa"/>
            <w:tcBorders>
              <w:top w:val="single" w:sz="4" w:space="0" w:color="auto"/>
              <w:left w:val="nil"/>
              <w:bottom w:val="nil"/>
              <w:right w:val="dashed" w:sz="4" w:space="0" w:color="auto"/>
            </w:tcBorders>
            <w:shd w:val="clear" w:color="auto" w:fill="auto"/>
            <w:vAlign w:val="center"/>
            <w:hideMark/>
          </w:tcPr>
          <w:p w14:paraId="51347E83"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E84"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E85"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E8B"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E8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332200</w:t>
            </w:r>
          </w:p>
        </w:tc>
        <w:tc>
          <w:tcPr>
            <w:tcW w:w="1240" w:type="dxa"/>
            <w:tcBorders>
              <w:top w:val="dashed" w:sz="4" w:space="0" w:color="auto"/>
              <w:left w:val="nil"/>
              <w:bottom w:val="nil"/>
              <w:right w:val="dashed" w:sz="4" w:space="0" w:color="auto"/>
            </w:tcBorders>
            <w:shd w:val="clear" w:color="auto" w:fill="auto"/>
            <w:noWrap/>
            <w:vAlign w:val="center"/>
            <w:hideMark/>
          </w:tcPr>
          <w:p w14:paraId="51347E88"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521</w:t>
            </w:r>
          </w:p>
        </w:tc>
        <w:tc>
          <w:tcPr>
            <w:tcW w:w="5422" w:type="dxa"/>
            <w:tcBorders>
              <w:top w:val="dashed" w:sz="4" w:space="0" w:color="auto"/>
              <w:left w:val="nil"/>
              <w:bottom w:val="nil"/>
              <w:right w:val="dashed" w:sz="4" w:space="0" w:color="auto"/>
            </w:tcBorders>
            <w:shd w:val="clear" w:color="auto" w:fill="auto"/>
            <w:noWrap/>
            <w:vAlign w:val="center"/>
            <w:hideMark/>
          </w:tcPr>
          <w:p w14:paraId="51347E89"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podnikatelským subjektům</w:t>
            </w:r>
          </w:p>
        </w:tc>
        <w:tc>
          <w:tcPr>
            <w:tcW w:w="1701" w:type="dxa"/>
            <w:tcBorders>
              <w:top w:val="dashed" w:sz="4" w:space="0" w:color="auto"/>
              <w:left w:val="nil"/>
              <w:bottom w:val="nil"/>
              <w:right w:val="single" w:sz="4" w:space="0" w:color="auto"/>
            </w:tcBorders>
            <w:shd w:val="clear" w:color="auto" w:fill="auto"/>
            <w:noWrap/>
            <w:vAlign w:val="center"/>
            <w:hideMark/>
          </w:tcPr>
          <w:p w14:paraId="51347E8A"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17 960 000</w:t>
            </w:r>
          </w:p>
        </w:tc>
      </w:tr>
      <w:tr w:rsidR="00B016A1" w:rsidRPr="00B016A1" w14:paraId="51347E90"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E8C"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332200</w:t>
            </w:r>
          </w:p>
        </w:tc>
        <w:tc>
          <w:tcPr>
            <w:tcW w:w="1240" w:type="dxa"/>
            <w:tcBorders>
              <w:top w:val="nil"/>
              <w:left w:val="nil"/>
              <w:bottom w:val="nil"/>
              <w:right w:val="dashed" w:sz="4" w:space="0" w:color="auto"/>
            </w:tcBorders>
            <w:shd w:val="clear" w:color="auto" w:fill="auto"/>
            <w:noWrap/>
            <w:vAlign w:val="center"/>
            <w:hideMark/>
          </w:tcPr>
          <w:p w14:paraId="51347E8D"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nil"/>
              <w:left w:val="nil"/>
              <w:bottom w:val="nil"/>
              <w:right w:val="dashed" w:sz="4" w:space="0" w:color="auto"/>
            </w:tcBorders>
            <w:shd w:val="clear" w:color="auto" w:fill="auto"/>
            <w:noWrap/>
            <w:vAlign w:val="center"/>
            <w:hideMark/>
          </w:tcPr>
          <w:p w14:paraId="51347E8E"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nil"/>
              <w:left w:val="nil"/>
              <w:bottom w:val="nil"/>
              <w:right w:val="single" w:sz="4" w:space="0" w:color="auto"/>
            </w:tcBorders>
            <w:shd w:val="clear" w:color="auto" w:fill="auto"/>
            <w:noWrap/>
            <w:vAlign w:val="center"/>
            <w:hideMark/>
          </w:tcPr>
          <w:p w14:paraId="51347E8F"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233 630 000</w:t>
            </w:r>
          </w:p>
        </w:tc>
      </w:tr>
      <w:tr w:rsidR="00B016A1" w:rsidRPr="00B016A1" w14:paraId="51347E95"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E9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332200</w:t>
            </w:r>
          </w:p>
        </w:tc>
        <w:tc>
          <w:tcPr>
            <w:tcW w:w="1240" w:type="dxa"/>
            <w:tcBorders>
              <w:top w:val="nil"/>
              <w:left w:val="nil"/>
              <w:bottom w:val="nil"/>
              <w:right w:val="dashed" w:sz="4" w:space="0" w:color="auto"/>
            </w:tcBorders>
            <w:shd w:val="clear" w:color="auto" w:fill="auto"/>
            <w:noWrap/>
            <w:vAlign w:val="center"/>
            <w:hideMark/>
          </w:tcPr>
          <w:p w14:paraId="51347E92"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532</w:t>
            </w:r>
          </w:p>
        </w:tc>
        <w:tc>
          <w:tcPr>
            <w:tcW w:w="5422" w:type="dxa"/>
            <w:tcBorders>
              <w:top w:val="nil"/>
              <w:left w:val="nil"/>
              <w:bottom w:val="nil"/>
              <w:right w:val="dashed" w:sz="4" w:space="0" w:color="auto"/>
            </w:tcBorders>
            <w:shd w:val="clear" w:color="auto" w:fill="auto"/>
            <w:noWrap/>
            <w:vAlign w:val="center"/>
            <w:hideMark/>
          </w:tcPr>
          <w:p w14:paraId="51347E93"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veřejným rozpočtům územní úrovně</w:t>
            </w:r>
          </w:p>
        </w:tc>
        <w:tc>
          <w:tcPr>
            <w:tcW w:w="1701" w:type="dxa"/>
            <w:tcBorders>
              <w:top w:val="nil"/>
              <w:left w:val="nil"/>
              <w:bottom w:val="nil"/>
              <w:right w:val="single" w:sz="4" w:space="0" w:color="auto"/>
            </w:tcBorders>
            <w:shd w:val="clear" w:color="auto" w:fill="auto"/>
            <w:noWrap/>
            <w:vAlign w:val="center"/>
            <w:hideMark/>
          </w:tcPr>
          <w:p w14:paraId="51347E94"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289 300 000</w:t>
            </w:r>
          </w:p>
        </w:tc>
      </w:tr>
      <w:tr w:rsidR="00B016A1" w:rsidRPr="00B016A1" w14:paraId="51347E9A"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E96"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332200</w:t>
            </w:r>
          </w:p>
        </w:tc>
        <w:tc>
          <w:tcPr>
            <w:tcW w:w="1240" w:type="dxa"/>
            <w:tcBorders>
              <w:top w:val="nil"/>
              <w:left w:val="nil"/>
              <w:bottom w:val="nil"/>
              <w:right w:val="dashed" w:sz="4" w:space="0" w:color="auto"/>
            </w:tcBorders>
            <w:shd w:val="clear" w:color="auto" w:fill="auto"/>
            <w:noWrap/>
            <w:vAlign w:val="center"/>
            <w:hideMark/>
          </w:tcPr>
          <w:p w14:paraId="51347E9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nil"/>
              <w:right w:val="dashed" w:sz="4" w:space="0" w:color="auto"/>
            </w:tcBorders>
            <w:shd w:val="clear" w:color="auto" w:fill="auto"/>
            <w:noWrap/>
            <w:vAlign w:val="center"/>
            <w:hideMark/>
          </w:tcPr>
          <w:p w14:paraId="51347E98"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nil"/>
              <w:left w:val="nil"/>
              <w:bottom w:val="nil"/>
              <w:right w:val="single" w:sz="4" w:space="0" w:color="auto"/>
            </w:tcBorders>
            <w:shd w:val="clear" w:color="auto" w:fill="auto"/>
            <w:noWrap/>
            <w:vAlign w:val="center"/>
            <w:hideMark/>
          </w:tcPr>
          <w:p w14:paraId="51347E99"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10 700 000</w:t>
            </w:r>
          </w:p>
        </w:tc>
      </w:tr>
      <w:tr w:rsidR="00B016A1" w:rsidRPr="00B016A1" w14:paraId="51347E9F"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E9B"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332200</w:t>
            </w:r>
          </w:p>
        </w:tc>
        <w:tc>
          <w:tcPr>
            <w:tcW w:w="1240" w:type="dxa"/>
            <w:tcBorders>
              <w:top w:val="nil"/>
              <w:left w:val="nil"/>
              <w:bottom w:val="nil"/>
              <w:right w:val="dashed" w:sz="4" w:space="0" w:color="auto"/>
            </w:tcBorders>
            <w:shd w:val="clear" w:color="auto" w:fill="auto"/>
            <w:noWrap/>
            <w:vAlign w:val="center"/>
            <w:hideMark/>
          </w:tcPr>
          <w:p w14:paraId="51347E9C"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549</w:t>
            </w:r>
          </w:p>
        </w:tc>
        <w:tc>
          <w:tcPr>
            <w:tcW w:w="5422" w:type="dxa"/>
            <w:tcBorders>
              <w:top w:val="nil"/>
              <w:left w:val="nil"/>
              <w:bottom w:val="nil"/>
              <w:right w:val="dashed" w:sz="4" w:space="0" w:color="auto"/>
            </w:tcBorders>
            <w:shd w:val="clear" w:color="auto" w:fill="auto"/>
            <w:noWrap/>
            <w:vAlign w:val="center"/>
            <w:hideMark/>
          </w:tcPr>
          <w:p w14:paraId="51347E9D"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Ostatní neinvestiční transfery obyvatelstvu</w:t>
            </w:r>
          </w:p>
        </w:tc>
        <w:tc>
          <w:tcPr>
            <w:tcW w:w="1701" w:type="dxa"/>
            <w:tcBorders>
              <w:top w:val="nil"/>
              <w:left w:val="nil"/>
              <w:bottom w:val="nil"/>
              <w:right w:val="single" w:sz="4" w:space="0" w:color="auto"/>
            </w:tcBorders>
            <w:shd w:val="clear" w:color="auto" w:fill="auto"/>
            <w:noWrap/>
            <w:vAlign w:val="center"/>
            <w:hideMark/>
          </w:tcPr>
          <w:p w14:paraId="51347E9E"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105 710 000</w:t>
            </w:r>
          </w:p>
        </w:tc>
      </w:tr>
      <w:tr w:rsidR="00B016A1" w:rsidRPr="00B016A1" w14:paraId="51347EA4"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EA0"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332200</w:t>
            </w:r>
          </w:p>
        </w:tc>
        <w:tc>
          <w:tcPr>
            <w:tcW w:w="1240" w:type="dxa"/>
            <w:tcBorders>
              <w:top w:val="nil"/>
              <w:left w:val="nil"/>
              <w:bottom w:val="dashed" w:sz="4" w:space="0" w:color="auto"/>
              <w:right w:val="dashed" w:sz="4" w:space="0" w:color="auto"/>
            </w:tcBorders>
            <w:shd w:val="clear" w:color="auto" w:fill="auto"/>
            <w:noWrap/>
            <w:vAlign w:val="center"/>
            <w:hideMark/>
          </w:tcPr>
          <w:p w14:paraId="51347EA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634</w:t>
            </w:r>
          </w:p>
        </w:tc>
        <w:tc>
          <w:tcPr>
            <w:tcW w:w="5422" w:type="dxa"/>
            <w:tcBorders>
              <w:top w:val="nil"/>
              <w:left w:val="nil"/>
              <w:bottom w:val="dashed" w:sz="4" w:space="0" w:color="auto"/>
              <w:right w:val="dashed" w:sz="4" w:space="0" w:color="auto"/>
            </w:tcBorders>
            <w:shd w:val="clear" w:color="auto" w:fill="auto"/>
            <w:noWrap/>
            <w:vAlign w:val="center"/>
            <w:hideMark/>
          </w:tcPr>
          <w:p w14:paraId="51347EA2"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Investiční transfery veřejným rozpočtům územní úrovně</w:t>
            </w:r>
          </w:p>
        </w:tc>
        <w:tc>
          <w:tcPr>
            <w:tcW w:w="1701" w:type="dxa"/>
            <w:tcBorders>
              <w:top w:val="nil"/>
              <w:left w:val="nil"/>
              <w:bottom w:val="dashed" w:sz="4" w:space="0" w:color="auto"/>
              <w:right w:val="single" w:sz="4" w:space="0" w:color="auto"/>
            </w:tcBorders>
            <w:shd w:val="clear" w:color="auto" w:fill="auto"/>
            <w:noWrap/>
            <w:vAlign w:val="center"/>
            <w:hideMark/>
          </w:tcPr>
          <w:p w14:paraId="51347EA3"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700 000</w:t>
            </w:r>
          </w:p>
        </w:tc>
      </w:tr>
      <w:tr w:rsidR="00B016A1" w:rsidRPr="00B016A1" w14:paraId="51347EA8" w14:textId="77777777" w:rsidTr="00B016A1">
        <w:trPr>
          <w:trHeight w:val="360"/>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EA5"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332200</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EA6"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Zachování a obnova kulturních památek</w:t>
            </w:r>
          </w:p>
        </w:tc>
        <w:tc>
          <w:tcPr>
            <w:tcW w:w="1701" w:type="dxa"/>
            <w:tcBorders>
              <w:top w:val="nil"/>
              <w:left w:val="nil"/>
              <w:bottom w:val="single" w:sz="4" w:space="0" w:color="auto"/>
              <w:right w:val="single" w:sz="4" w:space="0" w:color="auto"/>
            </w:tcBorders>
            <w:shd w:val="clear" w:color="auto" w:fill="auto"/>
            <w:noWrap/>
            <w:vAlign w:val="center"/>
            <w:hideMark/>
          </w:tcPr>
          <w:p w14:paraId="51347EA7"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658 000 000</w:t>
            </w:r>
          </w:p>
        </w:tc>
      </w:tr>
      <w:tr w:rsidR="00B016A1" w:rsidRPr="00B016A1" w14:paraId="51347EAD" w14:textId="77777777" w:rsidTr="00B016A1">
        <w:trPr>
          <w:trHeight w:val="600"/>
        </w:trPr>
        <w:tc>
          <w:tcPr>
            <w:tcW w:w="1008" w:type="dxa"/>
            <w:tcBorders>
              <w:top w:val="nil"/>
              <w:left w:val="nil"/>
              <w:bottom w:val="nil"/>
              <w:right w:val="nil"/>
            </w:tcBorders>
            <w:shd w:val="clear" w:color="auto" w:fill="auto"/>
            <w:noWrap/>
            <w:vAlign w:val="center"/>
            <w:hideMark/>
          </w:tcPr>
          <w:p w14:paraId="51347EA9" w14:textId="77777777" w:rsidR="00B016A1" w:rsidRPr="00B016A1" w:rsidRDefault="00B016A1" w:rsidP="00B016A1">
            <w:pPr>
              <w:spacing w:line="240" w:lineRule="auto"/>
              <w:jc w:val="center"/>
              <w:rPr>
                <w:rFonts w:ascii="Times New Roman" w:hAnsi="Times New Roman"/>
                <w:b/>
                <w:bCs/>
                <w:color w:val="000000"/>
                <w:sz w:val="22"/>
                <w:szCs w:val="22"/>
              </w:rPr>
            </w:pPr>
          </w:p>
        </w:tc>
        <w:tc>
          <w:tcPr>
            <w:tcW w:w="1240" w:type="dxa"/>
            <w:tcBorders>
              <w:top w:val="nil"/>
              <w:left w:val="nil"/>
              <w:bottom w:val="nil"/>
              <w:right w:val="nil"/>
            </w:tcBorders>
            <w:shd w:val="clear" w:color="auto" w:fill="auto"/>
            <w:noWrap/>
            <w:vAlign w:val="center"/>
            <w:hideMark/>
          </w:tcPr>
          <w:p w14:paraId="51347EAA" w14:textId="77777777" w:rsidR="00B016A1" w:rsidRPr="00B016A1" w:rsidRDefault="00B016A1" w:rsidP="00B016A1">
            <w:pPr>
              <w:spacing w:line="240" w:lineRule="auto"/>
              <w:jc w:val="left"/>
              <w:rPr>
                <w:rFonts w:ascii="Times New Roman" w:hAnsi="Times New Roman"/>
                <w:b/>
                <w:bCs/>
                <w:color w:val="000000"/>
                <w:sz w:val="22"/>
                <w:szCs w:val="22"/>
              </w:rPr>
            </w:pPr>
          </w:p>
        </w:tc>
        <w:tc>
          <w:tcPr>
            <w:tcW w:w="5422" w:type="dxa"/>
            <w:tcBorders>
              <w:top w:val="nil"/>
              <w:left w:val="nil"/>
              <w:bottom w:val="nil"/>
              <w:right w:val="nil"/>
            </w:tcBorders>
            <w:shd w:val="clear" w:color="auto" w:fill="auto"/>
            <w:noWrap/>
            <w:vAlign w:val="center"/>
            <w:hideMark/>
          </w:tcPr>
          <w:p w14:paraId="51347EAB" w14:textId="77777777" w:rsidR="00B016A1" w:rsidRPr="00B016A1" w:rsidRDefault="00B016A1" w:rsidP="00B016A1">
            <w:pPr>
              <w:spacing w:line="240" w:lineRule="auto"/>
              <w:jc w:val="left"/>
              <w:rPr>
                <w:rFonts w:ascii="Times New Roman" w:hAnsi="Times New Roman"/>
                <w:b/>
                <w:bCs/>
                <w:color w:val="000000"/>
                <w:sz w:val="22"/>
                <w:szCs w:val="22"/>
              </w:rPr>
            </w:pPr>
          </w:p>
        </w:tc>
        <w:tc>
          <w:tcPr>
            <w:tcW w:w="1701" w:type="dxa"/>
            <w:tcBorders>
              <w:top w:val="nil"/>
              <w:left w:val="nil"/>
              <w:bottom w:val="nil"/>
              <w:right w:val="nil"/>
            </w:tcBorders>
            <w:shd w:val="clear" w:color="auto" w:fill="auto"/>
            <w:noWrap/>
            <w:vAlign w:val="center"/>
            <w:hideMark/>
          </w:tcPr>
          <w:p w14:paraId="51347EAC" w14:textId="77777777" w:rsidR="00B016A1" w:rsidRPr="00B016A1" w:rsidRDefault="00B016A1" w:rsidP="00B016A1">
            <w:pPr>
              <w:spacing w:line="240" w:lineRule="auto"/>
              <w:jc w:val="left"/>
              <w:rPr>
                <w:rFonts w:ascii="Times New Roman" w:hAnsi="Times New Roman"/>
                <w:b/>
                <w:bCs/>
                <w:color w:val="000000"/>
                <w:sz w:val="22"/>
                <w:szCs w:val="22"/>
              </w:rPr>
            </w:pPr>
          </w:p>
        </w:tc>
      </w:tr>
      <w:tr w:rsidR="00B016A1" w:rsidRPr="00B016A1" w14:paraId="51347EB1" w14:textId="77777777" w:rsidTr="00B016A1">
        <w:trPr>
          <w:trHeight w:val="600"/>
        </w:trPr>
        <w:tc>
          <w:tcPr>
            <w:tcW w:w="1008" w:type="dxa"/>
            <w:tcBorders>
              <w:top w:val="nil"/>
              <w:left w:val="nil"/>
              <w:bottom w:val="nil"/>
              <w:right w:val="nil"/>
            </w:tcBorders>
            <w:shd w:val="clear" w:color="auto" w:fill="auto"/>
            <w:noWrap/>
            <w:vAlign w:val="center"/>
            <w:hideMark/>
          </w:tcPr>
          <w:p w14:paraId="51347EAE" w14:textId="77777777" w:rsidR="00B016A1" w:rsidRPr="00B016A1" w:rsidRDefault="00B016A1" w:rsidP="00B016A1">
            <w:pPr>
              <w:spacing w:line="240" w:lineRule="auto"/>
              <w:jc w:val="center"/>
              <w:rPr>
                <w:rFonts w:ascii="Times New Roman" w:hAnsi="Times New Roman"/>
                <w:b/>
                <w:bCs/>
                <w:color w:val="000000"/>
                <w:sz w:val="26"/>
                <w:szCs w:val="26"/>
              </w:rPr>
            </w:pPr>
            <w:r w:rsidRPr="00B016A1">
              <w:rPr>
                <w:rFonts w:ascii="Times New Roman" w:hAnsi="Times New Roman"/>
                <w:b/>
                <w:bCs/>
                <w:color w:val="000000"/>
                <w:sz w:val="26"/>
                <w:szCs w:val="26"/>
              </w:rPr>
              <w:t>BLOK</w:t>
            </w:r>
          </w:p>
        </w:tc>
        <w:tc>
          <w:tcPr>
            <w:tcW w:w="6662" w:type="dxa"/>
            <w:gridSpan w:val="2"/>
            <w:tcBorders>
              <w:top w:val="nil"/>
              <w:left w:val="nil"/>
              <w:bottom w:val="nil"/>
              <w:right w:val="nil"/>
            </w:tcBorders>
            <w:shd w:val="clear" w:color="auto" w:fill="auto"/>
            <w:vAlign w:val="center"/>
            <w:hideMark/>
          </w:tcPr>
          <w:p w14:paraId="51347EAF" w14:textId="77777777" w:rsidR="00B016A1" w:rsidRPr="00B016A1" w:rsidRDefault="00B016A1" w:rsidP="00B016A1">
            <w:pPr>
              <w:spacing w:line="240" w:lineRule="auto"/>
              <w:jc w:val="left"/>
              <w:rPr>
                <w:rFonts w:ascii="Times New Roman" w:hAnsi="Times New Roman"/>
                <w:b/>
                <w:bCs/>
                <w:color w:val="000000"/>
                <w:sz w:val="26"/>
                <w:szCs w:val="26"/>
              </w:rPr>
            </w:pPr>
            <w:r w:rsidRPr="00B016A1">
              <w:rPr>
                <w:rFonts w:ascii="Times New Roman" w:hAnsi="Times New Roman"/>
                <w:b/>
                <w:bCs/>
                <w:color w:val="000000"/>
                <w:sz w:val="26"/>
                <w:szCs w:val="26"/>
              </w:rPr>
              <w:t>Podpora kultury národnostních menšin</w:t>
            </w:r>
          </w:p>
        </w:tc>
        <w:tc>
          <w:tcPr>
            <w:tcW w:w="1701" w:type="dxa"/>
            <w:tcBorders>
              <w:top w:val="nil"/>
              <w:left w:val="nil"/>
              <w:bottom w:val="nil"/>
              <w:right w:val="nil"/>
            </w:tcBorders>
            <w:shd w:val="clear" w:color="auto" w:fill="auto"/>
            <w:noWrap/>
            <w:vAlign w:val="center"/>
            <w:hideMark/>
          </w:tcPr>
          <w:p w14:paraId="51347EB0" w14:textId="77777777" w:rsidR="00B016A1" w:rsidRPr="00B016A1" w:rsidRDefault="00B016A1" w:rsidP="00B016A1">
            <w:pPr>
              <w:spacing w:line="240" w:lineRule="auto"/>
              <w:jc w:val="right"/>
              <w:rPr>
                <w:rFonts w:ascii="Times New Roman" w:hAnsi="Times New Roman"/>
                <w:b/>
                <w:bCs/>
                <w:color w:val="000000"/>
                <w:sz w:val="26"/>
                <w:szCs w:val="26"/>
              </w:rPr>
            </w:pPr>
            <w:r w:rsidRPr="00B016A1">
              <w:rPr>
                <w:rFonts w:ascii="Times New Roman" w:hAnsi="Times New Roman"/>
                <w:b/>
                <w:bCs/>
                <w:color w:val="000000"/>
                <w:sz w:val="26"/>
                <w:szCs w:val="26"/>
              </w:rPr>
              <w:t>33 000 000</w:t>
            </w:r>
          </w:p>
        </w:tc>
      </w:tr>
      <w:tr w:rsidR="00B016A1" w:rsidRPr="00B016A1" w14:paraId="51347EB6" w14:textId="77777777" w:rsidTr="00B016A1">
        <w:trPr>
          <w:trHeight w:val="619"/>
        </w:trPr>
        <w:tc>
          <w:tcPr>
            <w:tcW w:w="1008" w:type="dxa"/>
            <w:tcBorders>
              <w:top w:val="nil"/>
              <w:left w:val="nil"/>
              <w:bottom w:val="nil"/>
              <w:right w:val="nil"/>
            </w:tcBorders>
            <w:shd w:val="clear" w:color="auto" w:fill="auto"/>
            <w:noWrap/>
            <w:vAlign w:val="bottom"/>
            <w:hideMark/>
          </w:tcPr>
          <w:p w14:paraId="51347EB2"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bottom"/>
            <w:hideMark/>
          </w:tcPr>
          <w:p w14:paraId="51347EB3"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507001</w:t>
            </w:r>
          </w:p>
        </w:tc>
        <w:tc>
          <w:tcPr>
            <w:tcW w:w="5422" w:type="dxa"/>
            <w:tcBorders>
              <w:top w:val="nil"/>
              <w:left w:val="nil"/>
              <w:bottom w:val="nil"/>
              <w:right w:val="nil"/>
            </w:tcBorders>
            <w:shd w:val="clear" w:color="auto" w:fill="auto"/>
            <w:vAlign w:val="bottom"/>
            <w:hideMark/>
          </w:tcPr>
          <w:p w14:paraId="51347EB4"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Podpora projektů integrace příslušníků romské komunity</w:t>
            </w:r>
          </w:p>
        </w:tc>
        <w:tc>
          <w:tcPr>
            <w:tcW w:w="1701" w:type="dxa"/>
            <w:tcBorders>
              <w:top w:val="nil"/>
              <w:left w:val="nil"/>
              <w:bottom w:val="nil"/>
              <w:right w:val="nil"/>
            </w:tcBorders>
            <w:shd w:val="clear" w:color="auto" w:fill="auto"/>
            <w:noWrap/>
            <w:vAlign w:val="bottom"/>
            <w:hideMark/>
          </w:tcPr>
          <w:p w14:paraId="51347EB5"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2 000 000</w:t>
            </w:r>
          </w:p>
        </w:tc>
      </w:tr>
      <w:tr w:rsidR="00B016A1" w:rsidRPr="00B016A1" w14:paraId="51347EBB" w14:textId="77777777" w:rsidTr="00B016A1">
        <w:trPr>
          <w:trHeight w:val="360"/>
        </w:trPr>
        <w:tc>
          <w:tcPr>
            <w:tcW w:w="1008" w:type="dxa"/>
            <w:tcBorders>
              <w:top w:val="nil"/>
              <w:left w:val="nil"/>
              <w:bottom w:val="nil"/>
              <w:right w:val="nil"/>
            </w:tcBorders>
            <w:shd w:val="clear" w:color="auto" w:fill="auto"/>
            <w:noWrap/>
            <w:vAlign w:val="center"/>
            <w:hideMark/>
          </w:tcPr>
          <w:p w14:paraId="51347EB7"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 xml:space="preserve">v tom: </w:t>
            </w:r>
          </w:p>
        </w:tc>
        <w:tc>
          <w:tcPr>
            <w:tcW w:w="1240" w:type="dxa"/>
            <w:tcBorders>
              <w:top w:val="nil"/>
              <w:left w:val="nil"/>
              <w:bottom w:val="nil"/>
              <w:right w:val="nil"/>
            </w:tcBorders>
            <w:shd w:val="clear" w:color="auto" w:fill="auto"/>
            <w:noWrap/>
            <w:vAlign w:val="center"/>
            <w:hideMark/>
          </w:tcPr>
          <w:p w14:paraId="51347EB8"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1100000</w:t>
            </w:r>
          </w:p>
        </w:tc>
        <w:tc>
          <w:tcPr>
            <w:tcW w:w="5422" w:type="dxa"/>
            <w:tcBorders>
              <w:top w:val="nil"/>
              <w:left w:val="nil"/>
              <w:bottom w:val="nil"/>
              <w:right w:val="nil"/>
            </w:tcBorders>
            <w:shd w:val="clear" w:color="auto" w:fill="auto"/>
            <w:noWrap/>
            <w:vAlign w:val="center"/>
            <w:hideMark/>
          </w:tcPr>
          <w:p w14:paraId="51347EB9"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zdroj SR - základní</w:t>
            </w:r>
          </w:p>
        </w:tc>
        <w:tc>
          <w:tcPr>
            <w:tcW w:w="1701" w:type="dxa"/>
            <w:tcBorders>
              <w:top w:val="nil"/>
              <w:left w:val="nil"/>
              <w:bottom w:val="nil"/>
              <w:right w:val="nil"/>
            </w:tcBorders>
            <w:shd w:val="clear" w:color="auto" w:fill="auto"/>
            <w:noWrap/>
            <w:vAlign w:val="center"/>
            <w:hideMark/>
          </w:tcPr>
          <w:p w14:paraId="51347EBA"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2 000 000</w:t>
            </w:r>
          </w:p>
        </w:tc>
      </w:tr>
      <w:tr w:rsidR="00B016A1" w:rsidRPr="00B016A1" w14:paraId="51347EC0"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EBC"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Paragraf</w:t>
            </w:r>
          </w:p>
        </w:tc>
        <w:tc>
          <w:tcPr>
            <w:tcW w:w="1240" w:type="dxa"/>
            <w:tcBorders>
              <w:top w:val="single" w:sz="4" w:space="0" w:color="auto"/>
              <w:left w:val="nil"/>
              <w:bottom w:val="nil"/>
              <w:right w:val="dashed" w:sz="4" w:space="0" w:color="auto"/>
            </w:tcBorders>
            <w:shd w:val="clear" w:color="auto" w:fill="auto"/>
            <w:vAlign w:val="center"/>
            <w:hideMark/>
          </w:tcPr>
          <w:p w14:paraId="51347EBD"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EBE"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EBF"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EC5"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EC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339233</w:t>
            </w:r>
          </w:p>
        </w:tc>
        <w:tc>
          <w:tcPr>
            <w:tcW w:w="1240" w:type="dxa"/>
            <w:tcBorders>
              <w:top w:val="dashed" w:sz="4" w:space="0" w:color="auto"/>
              <w:left w:val="nil"/>
              <w:bottom w:val="nil"/>
              <w:right w:val="dashed" w:sz="4" w:space="0" w:color="auto"/>
            </w:tcBorders>
            <w:shd w:val="clear" w:color="auto" w:fill="auto"/>
            <w:noWrap/>
            <w:vAlign w:val="center"/>
            <w:hideMark/>
          </w:tcPr>
          <w:p w14:paraId="51347EC2"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521</w:t>
            </w:r>
          </w:p>
        </w:tc>
        <w:tc>
          <w:tcPr>
            <w:tcW w:w="5422" w:type="dxa"/>
            <w:tcBorders>
              <w:top w:val="dashed" w:sz="4" w:space="0" w:color="auto"/>
              <w:left w:val="nil"/>
              <w:bottom w:val="nil"/>
              <w:right w:val="dashed" w:sz="4" w:space="0" w:color="auto"/>
            </w:tcBorders>
            <w:shd w:val="clear" w:color="auto" w:fill="auto"/>
            <w:noWrap/>
            <w:vAlign w:val="center"/>
            <w:hideMark/>
          </w:tcPr>
          <w:p w14:paraId="51347EC3"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podnikatelským subjektům</w:t>
            </w:r>
          </w:p>
        </w:tc>
        <w:tc>
          <w:tcPr>
            <w:tcW w:w="1701" w:type="dxa"/>
            <w:tcBorders>
              <w:top w:val="dashed" w:sz="4" w:space="0" w:color="auto"/>
              <w:left w:val="nil"/>
              <w:bottom w:val="nil"/>
              <w:right w:val="single" w:sz="4" w:space="0" w:color="auto"/>
            </w:tcBorders>
            <w:shd w:val="clear" w:color="auto" w:fill="auto"/>
            <w:noWrap/>
            <w:vAlign w:val="center"/>
            <w:hideMark/>
          </w:tcPr>
          <w:p w14:paraId="51347EC4"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21 000</w:t>
            </w:r>
          </w:p>
        </w:tc>
      </w:tr>
      <w:tr w:rsidR="00B016A1" w:rsidRPr="00B016A1" w14:paraId="51347ECA"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EC6"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339233</w:t>
            </w:r>
          </w:p>
        </w:tc>
        <w:tc>
          <w:tcPr>
            <w:tcW w:w="1240" w:type="dxa"/>
            <w:tcBorders>
              <w:top w:val="nil"/>
              <w:left w:val="nil"/>
              <w:bottom w:val="nil"/>
              <w:right w:val="dashed" w:sz="4" w:space="0" w:color="auto"/>
            </w:tcBorders>
            <w:shd w:val="clear" w:color="auto" w:fill="auto"/>
            <w:noWrap/>
            <w:vAlign w:val="center"/>
            <w:hideMark/>
          </w:tcPr>
          <w:p w14:paraId="51347EC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nil"/>
              <w:left w:val="nil"/>
              <w:bottom w:val="nil"/>
              <w:right w:val="dashed" w:sz="4" w:space="0" w:color="auto"/>
            </w:tcBorders>
            <w:shd w:val="clear" w:color="auto" w:fill="auto"/>
            <w:noWrap/>
            <w:vAlign w:val="center"/>
            <w:hideMark/>
          </w:tcPr>
          <w:p w14:paraId="51347EC8"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nil"/>
              <w:left w:val="nil"/>
              <w:bottom w:val="nil"/>
              <w:right w:val="single" w:sz="4" w:space="0" w:color="auto"/>
            </w:tcBorders>
            <w:shd w:val="clear" w:color="auto" w:fill="auto"/>
            <w:noWrap/>
            <w:vAlign w:val="center"/>
            <w:hideMark/>
          </w:tcPr>
          <w:p w14:paraId="51347EC9"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1 890 000</w:t>
            </w:r>
          </w:p>
        </w:tc>
      </w:tr>
      <w:tr w:rsidR="00B016A1" w:rsidRPr="00B016A1" w14:paraId="51347ECF"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ECB"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339233</w:t>
            </w:r>
          </w:p>
        </w:tc>
        <w:tc>
          <w:tcPr>
            <w:tcW w:w="1240" w:type="dxa"/>
            <w:tcBorders>
              <w:top w:val="nil"/>
              <w:left w:val="nil"/>
              <w:bottom w:val="dashed" w:sz="4" w:space="0" w:color="auto"/>
              <w:right w:val="dashed" w:sz="4" w:space="0" w:color="auto"/>
            </w:tcBorders>
            <w:shd w:val="clear" w:color="auto" w:fill="auto"/>
            <w:noWrap/>
            <w:vAlign w:val="center"/>
            <w:hideMark/>
          </w:tcPr>
          <w:p w14:paraId="51347ECC"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533</w:t>
            </w:r>
          </w:p>
        </w:tc>
        <w:tc>
          <w:tcPr>
            <w:tcW w:w="5422" w:type="dxa"/>
            <w:tcBorders>
              <w:top w:val="nil"/>
              <w:left w:val="nil"/>
              <w:bottom w:val="dashed" w:sz="4" w:space="0" w:color="auto"/>
              <w:right w:val="dashed" w:sz="4" w:space="0" w:color="auto"/>
            </w:tcBorders>
            <w:shd w:val="clear" w:color="auto" w:fill="auto"/>
            <w:noWrap/>
            <w:vAlign w:val="center"/>
            <w:hideMark/>
          </w:tcPr>
          <w:p w14:paraId="51347ECD"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příspěvkovým a podobným organizacím</w:t>
            </w:r>
          </w:p>
        </w:tc>
        <w:tc>
          <w:tcPr>
            <w:tcW w:w="1701" w:type="dxa"/>
            <w:tcBorders>
              <w:top w:val="nil"/>
              <w:left w:val="nil"/>
              <w:bottom w:val="dashed" w:sz="4" w:space="0" w:color="auto"/>
              <w:right w:val="single" w:sz="4" w:space="0" w:color="auto"/>
            </w:tcBorders>
            <w:shd w:val="clear" w:color="auto" w:fill="auto"/>
            <w:noWrap/>
            <w:vAlign w:val="center"/>
            <w:hideMark/>
          </w:tcPr>
          <w:p w14:paraId="51347ECE"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89 000</w:t>
            </w:r>
          </w:p>
        </w:tc>
      </w:tr>
      <w:tr w:rsidR="00B016A1" w:rsidRPr="00B016A1" w14:paraId="51347ED3" w14:textId="77777777" w:rsidTr="00B016A1">
        <w:trPr>
          <w:trHeight w:val="559"/>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ED0"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339233</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ED1"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Zájmová činnost v kultuře (Podpora projektů integrace příslušníků romské komunity)</w:t>
            </w:r>
          </w:p>
        </w:tc>
        <w:tc>
          <w:tcPr>
            <w:tcW w:w="1701" w:type="dxa"/>
            <w:tcBorders>
              <w:top w:val="nil"/>
              <w:left w:val="nil"/>
              <w:bottom w:val="single" w:sz="4" w:space="0" w:color="auto"/>
              <w:right w:val="single" w:sz="4" w:space="0" w:color="auto"/>
            </w:tcBorders>
            <w:shd w:val="clear" w:color="auto" w:fill="auto"/>
            <w:noWrap/>
            <w:vAlign w:val="center"/>
            <w:hideMark/>
          </w:tcPr>
          <w:p w14:paraId="51347ED2"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2 000 000</w:t>
            </w:r>
          </w:p>
        </w:tc>
      </w:tr>
      <w:tr w:rsidR="00B016A1" w:rsidRPr="00B016A1" w14:paraId="51347ED8" w14:textId="77777777" w:rsidTr="00B016A1">
        <w:trPr>
          <w:trHeight w:val="300"/>
        </w:trPr>
        <w:tc>
          <w:tcPr>
            <w:tcW w:w="1008" w:type="dxa"/>
            <w:tcBorders>
              <w:top w:val="nil"/>
              <w:left w:val="nil"/>
              <w:bottom w:val="nil"/>
              <w:right w:val="nil"/>
            </w:tcBorders>
            <w:shd w:val="clear" w:color="auto" w:fill="auto"/>
            <w:noWrap/>
            <w:vAlign w:val="center"/>
            <w:hideMark/>
          </w:tcPr>
          <w:p w14:paraId="51347ED4" w14:textId="77777777" w:rsidR="00B016A1" w:rsidRPr="00B016A1" w:rsidRDefault="00B016A1" w:rsidP="00B016A1">
            <w:pPr>
              <w:spacing w:line="240" w:lineRule="auto"/>
              <w:jc w:val="center"/>
              <w:rPr>
                <w:rFonts w:ascii="Times New Roman" w:hAnsi="Times New Roman"/>
                <w:b/>
                <w:bCs/>
                <w:color w:val="000000"/>
                <w:sz w:val="22"/>
                <w:szCs w:val="22"/>
              </w:rPr>
            </w:pPr>
          </w:p>
        </w:tc>
        <w:tc>
          <w:tcPr>
            <w:tcW w:w="1240" w:type="dxa"/>
            <w:tcBorders>
              <w:top w:val="nil"/>
              <w:left w:val="nil"/>
              <w:bottom w:val="nil"/>
              <w:right w:val="nil"/>
            </w:tcBorders>
            <w:shd w:val="clear" w:color="auto" w:fill="auto"/>
            <w:vAlign w:val="center"/>
            <w:hideMark/>
          </w:tcPr>
          <w:p w14:paraId="51347ED5" w14:textId="77777777" w:rsidR="00B016A1" w:rsidRPr="00B016A1" w:rsidRDefault="00B016A1" w:rsidP="00B016A1">
            <w:pPr>
              <w:spacing w:line="240" w:lineRule="auto"/>
              <w:jc w:val="left"/>
              <w:rPr>
                <w:rFonts w:ascii="Times New Roman" w:hAnsi="Times New Roman"/>
                <w:b/>
                <w:bCs/>
                <w:color w:val="000000"/>
                <w:sz w:val="22"/>
                <w:szCs w:val="22"/>
              </w:rPr>
            </w:pPr>
          </w:p>
        </w:tc>
        <w:tc>
          <w:tcPr>
            <w:tcW w:w="5422" w:type="dxa"/>
            <w:tcBorders>
              <w:top w:val="nil"/>
              <w:left w:val="nil"/>
              <w:bottom w:val="nil"/>
              <w:right w:val="nil"/>
            </w:tcBorders>
            <w:shd w:val="clear" w:color="auto" w:fill="auto"/>
            <w:vAlign w:val="center"/>
            <w:hideMark/>
          </w:tcPr>
          <w:p w14:paraId="51347ED6" w14:textId="77777777" w:rsidR="00B016A1" w:rsidRPr="00B016A1" w:rsidRDefault="00B016A1" w:rsidP="00B016A1">
            <w:pPr>
              <w:spacing w:line="240" w:lineRule="auto"/>
              <w:jc w:val="left"/>
              <w:rPr>
                <w:rFonts w:ascii="Times New Roman" w:hAnsi="Times New Roman"/>
                <w:b/>
                <w:bCs/>
                <w:color w:val="000000"/>
                <w:sz w:val="22"/>
                <w:szCs w:val="22"/>
              </w:rPr>
            </w:pPr>
          </w:p>
        </w:tc>
        <w:tc>
          <w:tcPr>
            <w:tcW w:w="1701" w:type="dxa"/>
            <w:tcBorders>
              <w:top w:val="nil"/>
              <w:left w:val="nil"/>
              <w:bottom w:val="nil"/>
              <w:right w:val="nil"/>
            </w:tcBorders>
            <w:shd w:val="clear" w:color="auto" w:fill="auto"/>
            <w:noWrap/>
            <w:vAlign w:val="center"/>
            <w:hideMark/>
          </w:tcPr>
          <w:p w14:paraId="51347ED7" w14:textId="77777777" w:rsidR="00B016A1" w:rsidRPr="00B016A1" w:rsidRDefault="00B016A1" w:rsidP="00B016A1">
            <w:pPr>
              <w:spacing w:line="240" w:lineRule="auto"/>
              <w:jc w:val="left"/>
              <w:rPr>
                <w:rFonts w:ascii="Times New Roman" w:hAnsi="Times New Roman"/>
                <w:b/>
                <w:bCs/>
                <w:color w:val="000000"/>
                <w:sz w:val="22"/>
                <w:szCs w:val="22"/>
              </w:rPr>
            </w:pPr>
          </w:p>
        </w:tc>
      </w:tr>
      <w:tr w:rsidR="00B016A1" w:rsidRPr="00B016A1" w14:paraId="51347EDD" w14:textId="77777777" w:rsidTr="00B016A1">
        <w:trPr>
          <w:trHeight w:val="619"/>
        </w:trPr>
        <w:tc>
          <w:tcPr>
            <w:tcW w:w="1008" w:type="dxa"/>
            <w:tcBorders>
              <w:top w:val="nil"/>
              <w:left w:val="nil"/>
              <w:bottom w:val="nil"/>
              <w:right w:val="nil"/>
            </w:tcBorders>
            <w:shd w:val="clear" w:color="auto" w:fill="auto"/>
            <w:noWrap/>
            <w:vAlign w:val="bottom"/>
            <w:hideMark/>
          </w:tcPr>
          <w:p w14:paraId="51347ED9"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bottom"/>
            <w:hideMark/>
          </w:tcPr>
          <w:p w14:paraId="51347EDA"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507002</w:t>
            </w:r>
          </w:p>
        </w:tc>
        <w:tc>
          <w:tcPr>
            <w:tcW w:w="5422" w:type="dxa"/>
            <w:tcBorders>
              <w:top w:val="nil"/>
              <w:left w:val="nil"/>
              <w:bottom w:val="nil"/>
              <w:right w:val="nil"/>
            </w:tcBorders>
            <w:shd w:val="clear" w:color="auto" w:fill="auto"/>
            <w:vAlign w:val="bottom"/>
            <w:hideMark/>
          </w:tcPr>
          <w:p w14:paraId="51347EDB"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Podpora kulturních aktivit národ. menšin a informací v jazycích národ. menšin</w:t>
            </w:r>
          </w:p>
        </w:tc>
        <w:tc>
          <w:tcPr>
            <w:tcW w:w="1701" w:type="dxa"/>
            <w:tcBorders>
              <w:top w:val="nil"/>
              <w:left w:val="nil"/>
              <w:bottom w:val="nil"/>
              <w:right w:val="nil"/>
            </w:tcBorders>
            <w:shd w:val="clear" w:color="auto" w:fill="auto"/>
            <w:noWrap/>
            <w:vAlign w:val="bottom"/>
            <w:hideMark/>
          </w:tcPr>
          <w:p w14:paraId="51347EDC"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31 000 000</w:t>
            </w:r>
          </w:p>
        </w:tc>
      </w:tr>
      <w:tr w:rsidR="00B016A1" w:rsidRPr="00B016A1" w14:paraId="51347EE2" w14:textId="77777777" w:rsidTr="00B016A1">
        <w:trPr>
          <w:trHeight w:val="360"/>
        </w:trPr>
        <w:tc>
          <w:tcPr>
            <w:tcW w:w="1008" w:type="dxa"/>
            <w:tcBorders>
              <w:top w:val="nil"/>
              <w:left w:val="nil"/>
              <w:bottom w:val="nil"/>
              <w:right w:val="nil"/>
            </w:tcBorders>
            <w:shd w:val="clear" w:color="auto" w:fill="auto"/>
            <w:noWrap/>
            <w:vAlign w:val="center"/>
            <w:hideMark/>
          </w:tcPr>
          <w:p w14:paraId="51347EDE"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v tom: zdroj</w:t>
            </w:r>
          </w:p>
        </w:tc>
        <w:tc>
          <w:tcPr>
            <w:tcW w:w="1240" w:type="dxa"/>
            <w:tcBorders>
              <w:top w:val="nil"/>
              <w:left w:val="nil"/>
              <w:bottom w:val="nil"/>
              <w:right w:val="nil"/>
            </w:tcBorders>
            <w:shd w:val="clear" w:color="auto" w:fill="auto"/>
            <w:noWrap/>
            <w:vAlign w:val="center"/>
            <w:hideMark/>
          </w:tcPr>
          <w:p w14:paraId="51347EDF"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1100000</w:t>
            </w:r>
          </w:p>
        </w:tc>
        <w:tc>
          <w:tcPr>
            <w:tcW w:w="5422" w:type="dxa"/>
            <w:tcBorders>
              <w:top w:val="nil"/>
              <w:left w:val="nil"/>
              <w:bottom w:val="nil"/>
              <w:right w:val="nil"/>
            </w:tcBorders>
            <w:shd w:val="clear" w:color="auto" w:fill="auto"/>
            <w:noWrap/>
            <w:vAlign w:val="center"/>
            <w:hideMark/>
          </w:tcPr>
          <w:p w14:paraId="51347EE0"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SR - základní</w:t>
            </w:r>
          </w:p>
        </w:tc>
        <w:tc>
          <w:tcPr>
            <w:tcW w:w="1701" w:type="dxa"/>
            <w:tcBorders>
              <w:top w:val="nil"/>
              <w:left w:val="nil"/>
              <w:bottom w:val="nil"/>
              <w:right w:val="nil"/>
            </w:tcBorders>
            <w:shd w:val="clear" w:color="auto" w:fill="auto"/>
            <w:noWrap/>
            <w:vAlign w:val="center"/>
            <w:hideMark/>
          </w:tcPr>
          <w:p w14:paraId="51347EE1"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31 000 000</w:t>
            </w:r>
          </w:p>
        </w:tc>
      </w:tr>
      <w:tr w:rsidR="00B016A1" w:rsidRPr="00B016A1" w14:paraId="51347EE7"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EE3"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Paragraf</w:t>
            </w:r>
          </w:p>
        </w:tc>
        <w:tc>
          <w:tcPr>
            <w:tcW w:w="1240" w:type="dxa"/>
            <w:tcBorders>
              <w:top w:val="single" w:sz="4" w:space="0" w:color="auto"/>
              <w:left w:val="nil"/>
              <w:bottom w:val="nil"/>
              <w:right w:val="dashed" w:sz="4" w:space="0" w:color="auto"/>
            </w:tcBorders>
            <w:shd w:val="clear" w:color="auto" w:fill="auto"/>
            <w:vAlign w:val="center"/>
            <w:hideMark/>
          </w:tcPr>
          <w:p w14:paraId="51347EE4"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EE5"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EE6"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EEC"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EE8"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331900</w:t>
            </w:r>
          </w:p>
        </w:tc>
        <w:tc>
          <w:tcPr>
            <w:tcW w:w="1240" w:type="dxa"/>
            <w:tcBorders>
              <w:top w:val="dashed" w:sz="4" w:space="0" w:color="auto"/>
              <w:left w:val="nil"/>
              <w:bottom w:val="dashed" w:sz="4" w:space="0" w:color="auto"/>
              <w:right w:val="dashed" w:sz="4" w:space="0" w:color="auto"/>
            </w:tcBorders>
            <w:shd w:val="clear" w:color="auto" w:fill="auto"/>
            <w:noWrap/>
            <w:vAlign w:val="center"/>
            <w:hideMark/>
          </w:tcPr>
          <w:p w14:paraId="51347EE9"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dashed" w:sz="4" w:space="0" w:color="auto"/>
              <w:left w:val="nil"/>
              <w:bottom w:val="dashed" w:sz="4" w:space="0" w:color="auto"/>
              <w:right w:val="dashed" w:sz="4" w:space="0" w:color="auto"/>
            </w:tcBorders>
            <w:shd w:val="clear" w:color="auto" w:fill="auto"/>
            <w:noWrap/>
            <w:vAlign w:val="center"/>
            <w:hideMark/>
          </w:tcPr>
          <w:p w14:paraId="51347EEA"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EEB"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20 850 000</w:t>
            </w:r>
          </w:p>
        </w:tc>
      </w:tr>
      <w:tr w:rsidR="00B016A1" w:rsidRPr="00B016A1" w14:paraId="51347EF0"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EED"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331900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EEE"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Ostatní záležitosti kultury</w:t>
            </w:r>
          </w:p>
        </w:tc>
        <w:tc>
          <w:tcPr>
            <w:tcW w:w="1701" w:type="dxa"/>
            <w:tcBorders>
              <w:top w:val="nil"/>
              <w:left w:val="nil"/>
              <w:bottom w:val="nil"/>
              <w:right w:val="single" w:sz="4" w:space="0" w:color="auto"/>
            </w:tcBorders>
            <w:shd w:val="clear" w:color="auto" w:fill="auto"/>
            <w:noWrap/>
            <w:vAlign w:val="center"/>
            <w:hideMark/>
          </w:tcPr>
          <w:p w14:paraId="51347EEF"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20 850 000</w:t>
            </w:r>
          </w:p>
        </w:tc>
      </w:tr>
      <w:tr w:rsidR="00B016A1" w:rsidRPr="00B016A1" w14:paraId="51347EF5"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EF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339200</w:t>
            </w:r>
          </w:p>
        </w:tc>
        <w:tc>
          <w:tcPr>
            <w:tcW w:w="1240" w:type="dxa"/>
            <w:tcBorders>
              <w:top w:val="nil"/>
              <w:left w:val="nil"/>
              <w:bottom w:val="nil"/>
              <w:right w:val="dashed" w:sz="4" w:space="0" w:color="auto"/>
            </w:tcBorders>
            <w:shd w:val="clear" w:color="auto" w:fill="auto"/>
            <w:noWrap/>
            <w:vAlign w:val="center"/>
            <w:hideMark/>
          </w:tcPr>
          <w:p w14:paraId="51347EF2"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522</w:t>
            </w:r>
          </w:p>
        </w:tc>
        <w:tc>
          <w:tcPr>
            <w:tcW w:w="5422" w:type="dxa"/>
            <w:tcBorders>
              <w:top w:val="nil"/>
              <w:left w:val="nil"/>
              <w:bottom w:val="nil"/>
              <w:right w:val="dashed" w:sz="4" w:space="0" w:color="auto"/>
            </w:tcBorders>
            <w:shd w:val="clear" w:color="auto" w:fill="auto"/>
            <w:noWrap/>
            <w:vAlign w:val="center"/>
            <w:hideMark/>
          </w:tcPr>
          <w:p w14:paraId="51347EF3"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neziskovým a podobným organizacím</w:t>
            </w:r>
          </w:p>
        </w:tc>
        <w:tc>
          <w:tcPr>
            <w:tcW w:w="1701" w:type="dxa"/>
            <w:tcBorders>
              <w:top w:val="dashed" w:sz="4" w:space="0" w:color="auto"/>
              <w:left w:val="nil"/>
              <w:bottom w:val="nil"/>
              <w:right w:val="single" w:sz="4" w:space="0" w:color="auto"/>
            </w:tcBorders>
            <w:shd w:val="clear" w:color="auto" w:fill="auto"/>
            <w:noWrap/>
            <w:vAlign w:val="center"/>
            <w:hideMark/>
          </w:tcPr>
          <w:p w14:paraId="51347EF4"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10 014 981</w:t>
            </w:r>
          </w:p>
        </w:tc>
      </w:tr>
      <w:tr w:rsidR="00B016A1" w:rsidRPr="00B016A1" w14:paraId="51347EFA"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EF6"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339200</w:t>
            </w:r>
          </w:p>
        </w:tc>
        <w:tc>
          <w:tcPr>
            <w:tcW w:w="1240" w:type="dxa"/>
            <w:tcBorders>
              <w:top w:val="nil"/>
              <w:left w:val="nil"/>
              <w:bottom w:val="dashed" w:sz="4" w:space="0" w:color="auto"/>
              <w:right w:val="dashed" w:sz="4" w:space="0" w:color="auto"/>
            </w:tcBorders>
            <w:shd w:val="clear" w:color="auto" w:fill="auto"/>
            <w:noWrap/>
            <w:vAlign w:val="center"/>
            <w:hideMark/>
          </w:tcPr>
          <w:p w14:paraId="51347EF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532</w:t>
            </w:r>
          </w:p>
        </w:tc>
        <w:tc>
          <w:tcPr>
            <w:tcW w:w="5422" w:type="dxa"/>
            <w:tcBorders>
              <w:top w:val="nil"/>
              <w:left w:val="nil"/>
              <w:bottom w:val="dashed" w:sz="4" w:space="0" w:color="auto"/>
              <w:right w:val="dashed" w:sz="4" w:space="0" w:color="auto"/>
            </w:tcBorders>
            <w:shd w:val="clear" w:color="auto" w:fill="auto"/>
            <w:noWrap/>
            <w:vAlign w:val="center"/>
            <w:hideMark/>
          </w:tcPr>
          <w:p w14:paraId="51347EF8"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veřejným rozpočtům územní úrovně</w:t>
            </w:r>
          </w:p>
        </w:tc>
        <w:tc>
          <w:tcPr>
            <w:tcW w:w="1701" w:type="dxa"/>
            <w:tcBorders>
              <w:top w:val="nil"/>
              <w:left w:val="nil"/>
              <w:bottom w:val="dashed" w:sz="4" w:space="0" w:color="auto"/>
              <w:right w:val="single" w:sz="4" w:space="0" w:color="auto"/>
            </w:tcBorders>
            <w:shd w:val="clear" w:color="auto" w:fill="auto"/>
            <w:noWrap/>
            <w:vAlign w:val="center"/>
            <w:hideMark/>
          </w:tcPr>
          <w:p w14:paraId="51347EF9"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135 019</w:t>
            </w:r>
          </w:p>
        </w:tc>
      </w:tr>
      <w:tr w:rsidR="00B016A1" w:rsidRPr="00B016A1" w14:paraId="51347EFE" w14:textId="77777777" w:rsidTr="00B016A1">
        <w:trPr>
          <w:trHeight w:val="360"/>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EFB"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339200</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EFC"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Zájmová činnost v kultuře</w:t>
            </w:r>
          </w:p>
        </w:tc>
        <w:tc>
          <w:tcPr>
            <w:tcW w:w="1701" w:type="dxa"/>
            <w:tcBorders>
              <w:top w:val="nil"/>
              <w:left w:val="nil"/>
              <w:bottom w:val="single" w:sz="4" w:space="0" w:color="auto"/>
              <w:right w:val="single" w:sz="4" w:space="0" w:color="auto"/>
            </w:tcBorders>
            <w:shd w:val="clear" w:color="auto" w:fill="auto"/>
            <w:noWrap/>
            <w:vAlign w:val="center"/>
            <w:hideMark/>
          </w:tcPr>
          <w:p w14:paraId="51347EFD"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10 150 000</w:t>
            </w:r>
          </w:p>
        </w:tc>
      </w:tr>
      <w:tr w:rsidR="00B016A1" w:rsidRPr="00B016A1" w14:paraId="51347F03" w14:textId="77777777" w:rsidTr="00B016A1">
        <w:trPr>
          <w:trHeight w:val="600"/>
        </w:trPr>
        <w:tc>
          <w:tcPr>
            <w:tcW w:w="1008" w:type="dxa"/>
            <w:tcBorders>
              <w:top w:val="nil"/>
              <w:left w:val="nil"/>
              <w:bottom w:val="nil"/>
              <w:right w:val="nil"/>
            </w:tcBorders>
            <w:shd w:val="clear" w:color="auto" w:fill="auto"/>
            <w:noWrap/>
            <w:vAlign w:val="center"/>
            <w:hideMark/>
          </w:tcPr>
          <w:p w14:paraId="51347EFF" w14:textId="77777777" w:rsidR="00B016A1" w:rsidRPr="00B016A1" w:rsidRDefault="00B016A1" w:rsidP="00B016A1">
            <w:pPr>
              <w:spacing w:line="240" w:lineRule="auto"/>
              <w:jc w:val="center"/>
              <w:rPr>
                <w:rFonts w:ascii="Times New Roman" w:hAnsi="Times New Roman"/>
                <w:b/>
                <w:bCs/>
                <w:color w:val="000000"/>
                <w:sz w:val="22"/>
                <w:szCs w:val="22"/>
              </w:rPr>
            </w:pPr>
          </w:p>
        </w:tc>
        <w:tc>
          <w:tcPr>
            <w:tcW w:w="1240" w:type="dxa"/>
            <w:tcBorders>
              <w:top w:val="nil"/>
              <w:left w:val="nil"/>
              <w:bottom w:val="nil"/>
              <w:right w:val="nil"/>
            </w:tcBorders>
            <w:shd w:val="clear" w:color="auto" w:fill="auto"/>
            <w:noWrap/>
            <w:vAlign w:val="center"/>
            <w:hideMark/>
          </w:tcPr>
          <w:p w14:paraId="51347F00" w14:textId="77777777" w:rsidR="00B016A1" w:rsidRPr="00B016A1" w:rsidRDefault="00B016A1" w:rsidP="00B016A1">
            <w:pPr>
              <w:spacing w:line="240" w:lineRule="auto"/>
              <w:jc w:val="left"/>
              <w:rPr>
                <w:rFonts w:ascii="Times New Roman" w:hAnsi="Times New Roman"/>
                <w:b/>
                <w:bCs/>
                <w:color w:val="000000"/>
                <w:sz w:val="22"/>
                <w:szCs w:val="22"/>
              </w:rPr>
            </w:pPr>
          </w:p>
        </w:tc>
        <w:tc>
          <w:tcPr>
            <w:tcW w:w="5422" w:type="dxa"/>
            <w:tcBorders>
              <w:top w:val="nil"/>
              <w:left w:val="nil"/>
              <w:bottom w:val="nil"/>
              <w:right w:val="nil"/>
            </w:tcBorders>
            <w:shd w:val="clear" w:color="auto" w:fill="auto"/>
            <w:noWrap/>
            <w:vAlign w:val="center"/>
            <w:hideMark/>
          </w:tcPr>
          <w:p w14:paraId="51347F01" w14:textId="77777777" w:rsidR="00B016A1" w:rsidRPr="00B016A1" w:rsidRDefault="00B016A1" w:rsidP="00B016A1">
            <w:pPr>
              <w:spacing w:line="240" w:lineRule="auto"/>
              <w:jc w:val="left"/>
              <w:rPr>
                <w:rFonts w:ascii="Times New Roman" w:hAnsi="Times New Roman"/>
                <w:b/>
                <w:bCs/>
                <w:color w:val="000000"/>
                <w:sz w:val="22"/>
                <w:szCs w:val="22"/>
              </w:rPr>
            </w:pPr>
          </w:p>
        </w:tc>
        <w:tc>
          <w:tcPr>
            <w:tcW w:w="1701" w:type="dxa"/>
            <w:tcBorders>
              <w:top w:val="nil"/>
              <w:left w:val="nil"/>
              <w:bottom w:val="nil"/>
              <w:right w:val="nil"/>
            </w:tcBorders>
            <w:shd w:val="clear" w:color="auto" w:fill="auto"/>
            <w:noWrap/>
            <w:vAlign w:val="center"/>
            <w:hideMark/>
          </w:tcPr>
          <w:p w14:paraId="51347F02" w14:textId="77777777" w:rsidR="00B016A1" w:rsidRPr="00B016A1" w:rsidRDefault="00B016A1" w:rsidP="00B016A1">
            <w:pPr>
              <w:spacing w:line="240" w:lineRule="auto"/>
              <w:jc w:val="left"/>
              <w:rPr>
                <w:rFonts w:ascii="Times New Roman" w:hAnsi="Times New Roman"/>
                <w:b/>
                <w:bCs/>
                <w:color w:val="000000"/>
                <w:sz w:val="22"/>
                <w:szCs w:val="22"/>
              </w:rPr>
            </w:pPr>
          </w:p>
        </w:tc>
      </w:tr>
      <w:tr w:rsidR="00B016A1" w:rsidRPr="00B016A1" w14:paraId="51347F07" w14:textId="77777777" w:rsidTr="00B016A1">
        <w:trPr>
          <w:trHeight w:val="600"/>
        </w:trPr>
        <w:tc>
          <w:tcPr>
            <w:tcW w:w="1008" w:type="dxa"/>
            <w:tcBorders>
              <w:top w:val="nil"/>
              <w:left w:val="nil"/>
              <w:bottom w:val="nil"/>
              <w:right w:val="nil"/>
            </w:tcBorders>
            <w:shd w:val="clear" w:color="auto" w:fill="auto"/>
            <w:noWrap/>
            <w:vAlign w:val="center"/>
            <w:hideMark/>
          </w:tcPr>
          <w:p w14:paraId="51347F04" w14:textId="77777777" w:rsidR="00B016A1" w:rsidRPr="00B016A1" w:rsidRDefault="00B016A1" w:rsidP="00B016A1">
            <w:pPr>
              <w:spacing w:line="240" w:lineRule="auto"/>
              <w:jc w:val="center"/>
              <w:rPr>
                <w:rFonts w:ascii="Times New Roman" w:hAnsi="Times New Roman"/>
                <w:b/>
                <w:bCs/>
                <w:color w:val="000000"/>
                <w:sz w:val="26"/>
                <w:szCs w:val="26"/>
              </w:rPr>
            </w:pPr>
            <w:r w:rsidRPr="00B016A1">
              <w:rPr>
                <w:rFonts w:ascii="Times New Roman" w:hAnsi="Times New Roman"/>
                <w:b/>
                <w:bCs/>
                <w:color w:val="000000"/>
                <w:sz w:val="26"/>
                <w:szCs w:val="26"/>
              </w:rPr>
              <w:t>BLOK</w:t>
            </w:r>
          </w:p>
        </w:tc>
        <w:tc>
          <w:tcPr>
            <w:tcW w:w="6662" w:type="dxa"/>
            <w:gridSpan w:val="2"/>
            <w:tcBorders>
              <w:top w:val="nil"/>
              <w:left w:val="nil"/>
              <w:bottom w:val="nil"/>
              <w:right w:val="nil"/>
            </w:tcBorders>
            <w:shd w:val="clear" w:color="auto" w:fill="auto"/>
            <w:vAlign w:val="center"/>
            <w:hideMark/>
          </w:tcPr>
          <w:p w14:paraId="51347F05" w14:textId="77777777" w:rsidR="00B016A1" w:rsidRPr="00B016A1" w:rsidRDefault="00B016A1" w:rsidP="00B016A1">
            <w:pPr>
              <w:spacing w:line="240" w:lineRule="auto"/>
              <w:jc w:val="left"/>
              <w:rPr>
                <w:rFonts w:ascii="Times New Roman" w:hAnsi="Times New Roman"/>
                <w:b/>
                <w:bCs/>
                <w:color w:val="000000"/>
                <w:sz w:val="26"/>
                <w:szCs w:val="26"/>
              </w:rPr>
            </w:pPr>
            <w:r w:rsidRPr="00B016A1">
              <w:rPr>
                <w:rFonts w:ascii="Times New Roman" w:hAnsi="Times New Roman"/>
                <w:b/>
                <w:bCs/>
                <w:color w:val="000000"/>
                <w:sz w:val="26"/>
                <w:szCs w:val="26"/>
              </w:rPr>
              <w:t>Podpora rozvoje a obnovy materiálně technické základny regionálních kulturních zařízení</w:t>
            </w:r>
          </w:p>
        </w:tc>
        <w:tc>
          <w:tcPr>
            <w:tcW w:w="1701" w:type="dxa"/>
            <w:tcBorders>
              <w:top w:val="nil"/>
              <w:left w:val="nil"/>
              <w:bottom w:val="nil"/>
              <w:right w:val="nil"/>
            </w:tcBorders>
            <w:shd w:val="clear" w:color="auto" w:fill="auto"/>
            <w:noWrap/>
            <w:vAlign w:val="center"/>
            <w:hideMark/>
          </w:tcPr>
          <w:p w14:paraId="51347F06" w14:textId="77777777" w:rsidR="00B016A1" w:rsidRPr="00B016A1" w:rsidRDefault="00B016A1" w:rsidP="00B016A1">
            <w:pPr>
              <w:spacing w:line="240" w:lineRule="auto"/>
              <w:jc w:val="right"/>
              <w:rPr>
                <w:rFonts w:ascii="Times New Roman" w:hAnsi="Times New Roman"/>
                <w:b/>
                <w:bCs/>
                <w:color w:val="000000"/>
                <w:sz w:val="26"/>
                <w:szCs w:val="26"/>
              </w:rPr>
            </w:pPr>
            <w:r w:rsidRPr="00B016A1">
              <w:rPr>
                <w:rFonts w:ascii="Times New Roman" w:hAnsi="Times New Roman"/>
                <w:b/>
                <w:bCs/>
                <w:color w:val="000000"/>
                <w:sz w:val="26"/>
                <w:szCs w:val="26"/>
              </w:rPr>
              <w:t>75 000 000</w:t>
            </w:r>
          </w:p>
        </w:tc>
      </w:tr>
      <w:tr w:rsidR="00B016A1" w:rsidRPr="00B016A1" w14:paraId="51347F0C" w14:textId="77777777" w:rsidTr="00B016A1">
        <w:trPr>
          <w:trHeight w:val="619"/>
        </w:trPr>
        <w:tc>
          <w:tcPr>
            <w:tcW w:w="1008" w:type="dxa"/>
            <w:tcBorders>
              <w:top w:val="nil"/>
              <w:left w:val="nil"/>
              <w:bottom w:val="nil"/>
              <w:right w:val="nil"/>
            </w:tcBorders>
            <w:shd w:val="clear" w:color="auto" w:fill="auto"/>
            <w:noWrap/>
            <w:vAlign w:val="bottom"/>
            <w:hideMark/>
          </w:tcPr>
          <w:p w14:paraId="51347F08"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bottom"/>
            <w:hideMark/>
          </w:tcPr>
          <w:p w14:paraId="51347F09"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508001</w:t>
            </w:r>
          </w:p>
        </w:tc>
        <w:tc>
          <w:tcPr>
            <w:tcW w:w="5422" w:type="dxa"/>
            <w:tcBorders>
              <w:top w:val="nil"/>
              <w:left w:val="nil"/>
              <w:bottom w:val="nil"/>
              <w:right w:val="nil"/>
            </w:tcBorders>
            <w:shd w:val="clear" w:color="auto" w:fill="auto"/>
            <w:noWrap/>
            <w:vAlign w:val="bottom"/>
            <w:hideMark/>
          </w:tcPr>
          <w:p w14:paraId="51347F0A"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Rozvoj a obnova MTZ regionálních kulturních zařízení</w:t>
            </w:r>
          </w:p>
        </w:tc>
        <w:tc>
          <w:tcPr>
            <w:tcW w:w="1701" w:type="dxa"/>
            <w:tcBorders>
              <w:top w:val="nil"/>
              <w:left w:val="nil"/>
              <w:bottom w:val="nil"/>
              <w:right w:val="nil"/>
            </w:tcBorders>
            <w:shd w:val="clear" w:color="auto" w:fill="auto"/>
            <w:noWrap/>
            <w:vAlign w:val="bottom"/>
            <w:hideMark/>
          </w:tcPr>
          <w:p w14:paraId="51347F0B"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75 000 000</w:t>
            </w:r>
          </w:p>
        </w:tc>
      </w:tr>
      <w:tr w:rsidR="00B016A1" w:rsidRPr="00B016A1" w14:paraId="51347F11" w14:textId="77777777" w:rsidTr="00B016A1">
        <w:trPr>
          <w:trHeight w:val="360"/>
        </w:trPr>
        <w:tc>
          <w:tcPr>
            <w:tcW w:w="1008" w:type="dxa"/>
            <w:tcBorders>
              <w:top w:val="nil"/>
              <w:left w:val="nil"/>
              <w:bottom w:val="nil"/>
              <w:right w:val="nil"/>
            </w:tcBorders>
            <w:shd w:val="clear" w:color="auto" w:fill="auto"/>
            <w:noWrap/>
            <w:vAlign w:val="center"/>
            <w:hideMark/>
          </w:tcPr>
          <w:p w14:paraId="51347F0D"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 xml:space="preserve">v tom: </w:t>
            </w:r>
          </w:p>
        </w:tc>
        <w:tc>
          <w:tcPr>
            <w:tcW w:w="1240" w:type="dxa"/>
            <w:tcBorders>
              <w:top w:val="nil"/>
              <w:left w:val="nil"/>
              <w:bottom w:val="nil"/>
              <w:right w:val="nil"/>
            </w:tcBorders>
            <w:shd w:val="clear" w:color="auto" w:fill="auto"/>
            <w:noWrap/>
            <w:vAlign w:val="center"/>
            <w:hideMark/>
          </w:tcPr>
          <w:p w14:paraId="51347F0E"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1100000</w:t>
            </w:r>
          </w:p>
        </w:tc>
        <w:tc>
          <w:tcPr>
            <w:tcW w:w="5422" w:type="dxa"/>
            <w:tcBorders>
              <w:top w:val="nil"/>
              <w:left w:val="nil"/>
              <w:bottom w:val="nil"/>
              <w:right w:val="nil"/>
            </w:tcBorders>
            <w:shd w:val="clear" w:color="auto" w:fill="auto"/>
            <w:noWrap/>
            <w:vAlign w:val="center"/>
            <w:hideMark/>
          </w:tcPr>
          <w:p w14:paraId="51347F0F"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zdroj SR - základní</w:t>
            </w:r>
          </w:p>
        </w:tc>
        <w:tc>
          <w:tcPr>
            <w:tcW w:w="1701" w:type="dxa"/>
            <w:tcBorders>
              <w:top w:val="nil"/>
              <w:left w:val="nil"/>
              <w:bottom w:val="nil"/>
              <w:right w:val="nil"/>
            </w:tcBorders>
            <w:shd w:val="clear" w:color="auto" w:fill="auto"/>
            <w:noWrap/>
            <w:vAlign w:val="center"/>
            <w:hideMark/>
          </w:tcPr>
          <w:p w14:paraId="51347F10"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75 000 000</w:t>
            </w:r>
          </w:p>
        </w:tc>
      </w:tr>
      <w:tr w:rsidR="00B016A1" w:rsidRPr="00B016A1" w14:paraId="51347F16"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F12"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Paragraf</w:t>
            </w:r>
          </w:p>
        </w:tc>
        <w:tc>
          <w:tcPr>
            <w:tcW w:w="1240" w:type="dxa"/>
            <w:tcBorders>
              <w:top w:val="single" w:sz="4" w:space="0" w:color="auto"/>
              <w:left w:val="nil"/>
              <w:bottom w:val="nil"/>
              <w:right w:val="dashed" w:sz="4" w:space="0" w:color="auto"/>
            </w:tcBorders>
            <w:shd w:val="clear" w:color="auto" w:fill="auto"/>
            <w:vAlign w:val="center"/>
            <w:hideMark/>
          </w:tcPr>
          <w:p w14:paraId="51347F13"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F14"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F15"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F1B"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F17"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331900</w:t>
            </w:r>
          </w:p>
        </w:tc>
        <w:tc>
          <w:tcPr>
            <w:tcW w:w="1240" w:type="dxa"/>
            <w:tcBorders>
              <w:top w:val="dashed" w:sz="4" w:space="0" w:color="auto"/>
              <w:left w:val="nil"/>
              <w:bottom w:val="dashed" w:sz="4" w:space="0" w:color="auto"/>
              <w:right w:val="dashed" w:sz="4" w:space="0" w:color="auto"/>
            </w:tcBorders>
            <w:shd w:val="clear" w:color="auto" w:fill="auto"/>
            <w:noWrap/>
            <w:vAlign w:val="center"/>
            <w:hideMark/>
          </w:tcPr>
          <w:p w14:paraId="51347F18"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634</w:t>
            </w:r>
          </w:p>
        </w:tc>
        <w:tc>
          <w:tcPr>
            <w:tcW w:w="5422" w:type="dxa"/>
            <w:tcBorders>
              <w:top w:val="dashed" w:sz="4" w:space="0" w:color="auto"/>
              <w:left w:val="nil"/>
              <w:bottom w:val="dashed" w:sz="4" w:space="0" w:color="auto"/>
              <w:right w:val="dashed" w:sz="4" w:space="0" w:color="auto"/>
            </w:tcBorders>
            <w:shd w:val="clear" w:color="auto" w:fill="auto"/>
            <w:noWrap/>
            <w:vAlign w:val="center"/>
            <w:hideMark/>
          </w:tcPr>
          <w:p w14:paraId="51347F19"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Investiční transfery veřejným rozpočtům územní úrovně</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F1A"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73 000 000</w:t>
            </w:r>
          </w:p>
        </w:tc>
      </w:tr>
      <w:tr w:rsidR="00B016A1" w:rsidRPr="00B016A1" w14:paraId="51347F1F" w14:textId="77777777" w:rsidTr="00B016A1">
        <w:trPr>
          <w:trHeight w:val="360"/>
        </w:trPr>
        <w:tc>
          <w:tcPr>
            <w:tcW w:w="1008" w:type="dxa"/>
            <w:tcBorders>
              <w:top w:val="nil"/>
              <w:left w:val="single" w:sz="4" w:space="0" w:color="auto"/>
              <w:bottom w:val="nil"/>
              <w:right w:val="dashed" w:sz="4" w:space="0" w:color="auto"/>
            </w:tcBorders>
            <w:shd w:val="clear" w:color="auto" w:fill="auto"/>
            <w:noWrap/>
            <w:vAlign w:val="center"/>
            <w:hideMark/>
          </w:tcPr>
          <w:p w14:paraId="51347F1C"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331900</w:t>
            </w:r>
          </w:p>
        </w:tc>
        <w:tc>
          <w:tcPr>
            <w:tcW w:w="6662" w:type="dxa"/>
            <w:gridSpan w:val="2"/>
            <w:tcBorders>
              <w:top w:val="dashed" w:sz="4" w:space="0" w:color="auto"/>
              <w:left w:val="nil"/>
              <w:bottom w:val="dashed" w:sz="4" w:space="0" w:color="auto"/>
              <w:right w:val="dashed" w:sz="4" w:space="0" w:color="000000"/>
            </w:tcBorders>
            <w:shd w:val="clear" w:color="auto" w:fill="auto"/>
            <w:vAlign w:val="center"/>
            <w:hideMark/>
          </w:tcPr>
          <w:p w14:paraId="51347F1D"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Ostatní záležitosti kultury</w:t>
            </w:r>
          </w:p>
        </w:tc>
        <w:tc>
          <w:tcPr>
            <w:tcW w:w="1701" w:type="dxa"/>
            <w:tcBorders>
              <w:top w:val="nil"/>
              <w:left w:val="nil"/>
              <w:bottom w:val="nil"/>
              <w:right w:val="single" w:sz="4" w:space="0" w:color="auto"/>
            </w:tcBorders>
            <w:shd w:val="clear" w:color="auto" w:fill="auto"/>
            <w:noWrap/>
            <w:vAlign w:val="center"/>
            <w:hideMark/>
          </w:tcPr>
          <w:p w14:paraId="51347F1E"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73 000 000</w:t>
            </w:r>
          </w:p>
        </w:tc>
      </w:tr>
      <w:tr w:rsidR="00B016A1" w:rsidRPr="00B016A1" w14:paraId="51347F24"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F20"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339900</w:t>
            </w:r>
          </w:p>
        </w:tc>
        <w:tc>
          <w:tcPr>
            <w:tcW w:w="1240" w:type="dxa"/>
            <w:tcBorders>
              <w:top w:val="nil"/>
              <w:left w:val="nil"/>
              <w:bottom w:val="dashed" w:sz="4" w:space="0" w:color="auto"/>
              <w:right w:val="dashed" w:sz="4" w:space="0" w:color="auto"/>
            </w:tcBorders>
            <w:shd w:val="clear" w:color="auto" w:fill="auto"/>
            <w:noWrap/>
            <w:vAlign w:val="center"/>
            <w:hideMark/>
          </w:tcPr>
          <w:p w14:paraId="51347F2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632</w:t>
            </w:r>
          </w:p>
        </w:tc>
        <w:tc>
          <w:tcPr>
            <w:tcW w:w="5422" w:type="dxa"/>
            <w:tcBorders>
              <w:top w:val="nil"/>
              <w:left w:val="nil"/>
              <w:bottom w:val="dashed" w:sz="4" w:space="0" w:color="auto"/>
              <w:right w:val="dashed" w:sz="4" w:space="0" w:color="auto"/>
            </w:tcBorders>
            <w:shd w:val="clear" w:color="auto" w:fill="auto"/>
            <w:noWrap/>
            <w:vAlign w:val="center"/>
            <w:hideMark/>
          </w:tcPr>
          <w:p w14:paraId="51347F22"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Investiční transfery neziskovým a podobným organizacím</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F23"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2 000 000</w:t>
            </w:r>
          </w:p>
        </w:tc>
      </w:tr>
      <w:tr w:rsidR="00B016A1" w:rsidRPr="00B016A1" w14:paraId="51347F28" w14:textId="77777777" w:rsidTr="00B016A1">
        <w:trPr>
          <w:trHeight w:val="559"/>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F25"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339900</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F26"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Ostatní záležitosti kultury, církví a sdělovacích prostředků</w:t>
            </w:r>
          </w:p>
        </w:tc>
        <w:tc>
          <w:tcPr>
            <w:tcW w:w="1701" w:type="dxa"/>
            <w:tcBorders>
              <w:top w:val="nil"/>
              <w:left w:val="nil"/>
              <w:bottom w:val="single" w:sz="4" w:space="0" w:color="auto"/>
              <w:right w:val="single" w:sz="4" w:space="0" w:color="auto"/>
            </w:tcBorders>
            <w:shd w:val="clear" w:color="auto" w:fill="auto"/>
            <w:noWrap/>
            <w:vAlign w:val="center"/>
            <w:hideMark/>
          </w:tcPr>
          <w:p w14:paraId="51347F27"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2 000 000</w:t>
            </w:r>
          </w:p>
        </w:tc>
      </w:tr>
      <w:tr w:rsidR="00B016A1" w:rsidRPr="00B016A1" w14:paraId="51347F2D" w14:textId="77777777" w:rsidTr="00B016A1">
        <w:trPr>
          <w:trHeight w:val="600"/>
        </w:trPr>
        <w:tc>
          <w:tcPr>
            <w:tcW w:w="1008" w:type="dxa"/>
            <w:tcBorders>
              <w:top w:val="nil"/>
              <w:left w:val="nil"/>
              <w:bottom w:val="nil"/>
              <w:right w:val="nil"/>
            </w:tcBorders>
            <w:shd w:val="clear" w:color="auto" w:fill="auto"/>
            <w:noWrap/>
            <w:vAlign w:val="center"/>
            <w:hideMark/>
          </w:tcPr>
          <w:p w14:paraId="51347F29" w14:textId="77777777" w:rsidR="00B016A1" w:rsidRPr="00B016A1" w:rsidRDefault="00B016A1" w:rsidP="00B016A1">
            <w:pPr>
              <w:spacing w:line="240" w:lineRule="auto"/>
              <w:jc w:val="center"/>
              <w:rPr>
                <w:rFonts w:ascii="Times New Roman" w:hAnsi="Times New Roman"/>
                <w:b/>
                <w:bCs/>
                <w:color w:val="000000"/>
                <w:sz w:val="22"/>
                <w:szCs w:val="22"/>
              </w:rPr>
            </w:pPr>
          </w:p>
        </w:tc>
        <w:tc>
          <w:tcPr>
            <w:tcW w:w="1240" w:type="dxa"/>
            <w:tcBorders>
              <w:top w:val="nil"/>
              <w:left w:val="nil"/>
              <w:bottom w:val="nil"/>
              <w:right w:val="nil"/>
            </w:tcBorders>
            <w:shd w:val="clear" w:color="auto" w:fill="auto"/>
            <w:noWrap/>
            <w:vAlign w:val="center"/>
            <w:hideMark/>
          </w:tcPr>
          <w:p w14:paraId="51347F2A" w14:textId="77777777" w:rsidR="00B016A1" w:rsidRPr="00B016A1" w:rsidRDefault="00B016A1" w:rsidP="00B016A1">
            <w:pPr>
              <w:spacing w:line="240" w:lineRule="auto"/>
              <w:jc w:val="left"/>
              <w:rPr>
                <w:rFonts w:ascii="Times New Roman" w:hAnsi="Times New Roman"/>
                <w:b/>
                <w:bCs/>
                <w:color w:val="000000"/>
                <w:sz w:val="22"/>
                <w:szCs w:val="22"/>
              </w:rPr>
            </w:pPr>
          </w:p>
        </w:tc>
        <w:tc>
          <w:tcPr>
            <w:tcW w:w="5422" w:type="dxa"/>
            <w:tcBorders>
              <w:top w:val="nil"/>
              <w:left w:val="nil"/>
              <w:bottom w:val="nil"/>
              <w:right w:val="nil"/>
            </w:tcBorders>
            <w:shd w:val="clear" w:color="auto" w:fill="auto"/>
            <w:noWrap/>
            <w:vAlign w:val="center"/>
            <w:hideMark/>
          </w:tcPr>
          <w:p w14:paraId="51347F2B" w14:textId="77777777" w:rsidR="00B016A1" w:rsidRPr="00B016A1" w:rsidRDefault="00B016A1" w:rsidP="00B016A1">
            <w:pPr>
              <w:spacing w:line="240" w:lineRule="auto"/>
              <w:jc w:val="left"/>
              <w:rPr>
                <w:rFonts w:ascii="Times New Roman" w:hAnsi="Times New Roman"/>
                <w:b/>
                <w:bCs/>
                <w:color w:val="000000"/>
                <w:sz w:val="22"/>
                <w:szCs w:val="22"/>
              </w:rPr>
            </w:pPr>
          </w:p>
        </w:tc>
        <w:tc>
          <w:tcPr>
            <w:tcW w:w="1701" w:type="dxa"/>
            <w:tcBorders>
              <w:top w:val="nil"/>
              <w:left w:val="nil"/>
              <w:bottom w:val="nil"/>
              <w:right w:val="nil"/>
            </w:tcBorders>
            <w:shd w:val="clear" w:color="auto" w:fill="auto"/>
            <w:noWrap/>
            <w:vAlign w:val="center"/>
            <w:hideMark/>
          </w:tcPr>
          <w:p w14:paraId="51347F2C" w14:textId="77777777" w:rsidR="00B016A1" w:rsidRPr="00B016A1" w:rsidRDefault="00B016A1" w:rsidP="00B016A1">
            <w:pPr>
              <w:spacing w:line="240" w:lineRule="auto"/>
              <w:jc w:val="left"/>
              <w:rPr>
                <w:rFonts w:ascii="Times New Roman" w:hAnsi="Times New Roman"/>
                <w:b/>
                <w:bCs/>
                <w:color w:val="000000"/>
                <w:sz w:val="22"/>
                <w:szCs w:val="22"/>
              </w:rPr>
            </w:pPr>
          </w:p>
        </w:tc>
      </w:tr>
      <w:tr w:rsidR="00B016A1" w:rsidRPr="00B016A1" w14:paraId="51347F31" w14:textId="77777777" w:rsidTr="00B016A1">
        <w:trPr>
          <w:trHeight w:val="600"/>
        </w:trPr>
        <w:tc>
          <w:tcPr>
            <w:tcW w:w="1008" w:type="dxa"/>
            <w:tcBorders>
              <w:top w:val="nil"/>
              <w:left w:val="nil"/>
              <w:bottom w:val="nil"/>
              <w:right w:val="nil"/>
            </w:tcBorders>
            <w:shd w:val="clear" w:color="auto" w:fill="auto"/>
            <w:noWrap/>
            <w:vAlign w:val="center"/>
            <w:hideMark/>
          </w:tcPr>
          <w:p w14:paraId="51347F2E" w14:textId="77777777" w:rsidR="00B016A1" w:rsidRPr="00B016A1" w:rsidRDefault="00B016A1" w:rsidP="00B016A1">
            <w:pPr>
              <w:spacing w:line="240" w:lineRule="auto"/>
              <w:jc w:val="center"/>
              <w:rPr>
                <w:rFonts w:ascii="Times New Roman" w:hAnsi="Times New Roman"/>
                <w:b/>
                <w:bCs/>
                <w:color w:val="000000"/>
                <w:sz w:val="26"/>
                <w:szCs w:val="26"/>
              </w:rPr>
            </w:pPr>
            <w:r w:rsidRPr="00B016A1">
              <w:rPr>
                <w:rFonts w:ascii="Times New Roman" w:hAnsi="Times New Roman"/>
                <w:b/>
                <w:bCs/>
                <w:color w:val="000000"/>
                <w:sz w:val="26"/>
                <w:szCs w:val="26"/>
              </w:rPr>
              <w:t>BLOK</w:t>
            </w:r>
          </w:p>
        </w:tc>
        <w:tc>
          <w:tcPr>
            <w:tcW w:w="6662" w:type="dxa"/>
            <w:gridSpan w:val="2"/>
            <w:tcBorders>
              <w:top w:val="nil"/>
              <w:left w:val="nil"/>
              <w:bottom w:val="nil"/>
              <w:right w:val="nil"/>
            </w:tcBorders>
            <w:shd w:val="clear" w:color="auto" w:fill="auto"/>
            <w:vAlign w:val="center"/>
            <w:hideMark/>
          </w:tcPr>
          <w:p w14:paraId="51347F2F" w14:textId="77777777" w:rsidR="00B016A1" w:rsidRPr="00B016A1" w:rsidRDefault="00B016A1" w:rsidP="00B016A1">
            <w:pPr>
              <w:spacing w:line="240" w:lineRule="auto"/>
              <w:jc w:val="left"/>
              <w:rPr>
                <w:rFonts w:ascii="Times New Roman" w:hAnsi="Times New Roman"/>
                <w:b/>
                <w:bCs/>
                <w:color w:val="000000"/>
                <w:sz w:val="26"/>
                <w:szCs w:val="26"/>
              </w:rPr>
            </w:pPr>
            <w:r w:rsidRPr="00B016A1">
              <w:rPr>
                <w:rFonts w:ascii="Times New Roman" w:hAnsi="Times New Roman"/>
                <w:b/>
                <w:bCs/>
                <w:color w:val="000000"/>
                <w:sz w:val="26"/>
                <w:szCs w:val="26"/>
              </w:rPr>
              <w:t>Státní fond kinematografie</w:t>
            </w:r>
          </w:p>
        </w:tc>
        <w:tc>
          <w:tcPr>
            <w:tcW w:w="1701" w:type="dxa"/>
            <w:tcBorders>
              <w:top w:val="nil"/>
              <w:left w:val="nil"/>
              <w:bottom w:val="nil"/>
              <w:right w:val="nil"/>
            </w:tcBorders>
            <w:shd w:val="clear" w:color="auto" w:fill="auto"/>
            <w:noWrap/>
            <w:vAlign w:val="center"/>
            <w:hideMark/>
          </w:tcPr>
          <w:p w14:paraId="51347F30" w14:textId="77777777" w:rsidR="00B016A1" w:rsidRPr="00B016A1" w:rsidRDefault="00B016A1" w:rsidP="00B016A1">
            <w:pPr>
              <w:spacing w:line="240" w:lineRule="auto"/>
              <w:jc w:val="right"/>
              <w:rPr>
                <w:rFonts w:ascii="Times New Roman" w:hAnsi="Times New Roman"/>
                <w:b/>
                <w:bCs/>
                <w:color w:val="000000"/>
                <w:sz w:val="26"/>
                <w:szCs w:val="26"/>
              </w:rPr>
            </w:pPr>
            <w:r w:rsidRPr="00B016A1">
              <w:rPr>
                <w:rFonts w:ascii="Times New Roman" w:hAnsi="Times New Roman"/>
                <w:b/>
                <w:bCs/>
                <w:color w:val="000000"/>
                <w:sz w:val="26"/>
                <w:szCs w:val="26"/>
              </w:rPr>
              <w:t>981 800 000</w:t>
            </w:r>
          </w:p>
        </w:tc>
      </w:tr>
      <w:tr w:rsidR="00B016A1" w:rsidRPr="00B016A1" w14:paraId="51347F36" w14:textId="77777777" w:rsidTr="00B016A1">
        <w:trPr>
          <w:trHeight w:val="619"/>
        </w:trPr>
        <w:tc>
          <w:tcPr>
            <w:tcW w:w="1008" w:type="dxa"/>
            <w:tcBorders>
              <w:top w:val="nil"/>
              <w:left w:val="nil"/>
              <w:bottom w:val="nil"/>
              <w:right w:val="nil"/>
            </w:tcBorders>
            <w:shd w:val="clear" w:color="auto" w:fill="auto"/>
            <w:noWrap/>
            <w:vAlign w:val="bottom"/>
            <w:hideMark/>
          </w:tcPr>
          <w:p w14:paraId="51347F32"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bottom"/>
            <w:hideMark/>
          </w:tcPr>
          <w:p w14:paraId="51347F33"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509001</w:t>
            </w:r>
          </w:p>
        </w:tc>
        <w:tc>
          <w:tcPr>
            <w:tcW w:w="5422" w:type="dxa"/>
            <w:tcBorders>
              <w:top w:val="nil"/>
              <w:left w:val="nil"/>
              <w:bottom w:val="nil"/>
              <w:right w:val="nil"/>
            </w:tcBorders>
            <w:shd w:val="clear" w:color="auto" w:fill="auto"/>
            <w:noWrap/>
            <w:vAlign w:val="bottom"/>
            <w:hideMark/>
          </w:tcPr>
          <w:p w14:paraId="51347F34"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Dotace na filmové pobídky</w:t>
            </w:r>
          </w:p>
        </w:tc>
        <w:tc>
          <w:tcPr>
            <w:tcW w:w="1701" w:type="dxa"/>
            <w:tcBorders>
              <w:top w:val="nil"/>
              <w:left w:val="nil"/>
              <w:bottom w:val="nil"/>
              <w:right w:val="nil"/>
            </w:tcBorders>
            <w:shd w:val="clear" w:color="auto" w:fill="auto"/>
            <w:noWrap/>
            <w:vAlign w:val="bottom"/>
            <w:hideMark/>
          </w:tcPr>
          <w:p w14:paraId="51347F35"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800 000 000</w:t>
            </w:r>
          </w:p>
        </w:tc>
      </w:tr>
      <w:tr w:rsidR="00B016A1" w:rsidRPr="00B016A1" w14:paraId="51347F3B" w14:textId="77777777" w:rsidTr="00B016A1">
        <w:trPr>
          <w:trHeight w:val="360"/>
        </w:trPr>
        <w:tc>
          <w:tcPr>
            <w:tcW w:w="1008" w:type="dxa"/>
            <w:tcBorders>
              <w:top w:val="nil"/>
              <w:left w:val="nil"/>
              <w:bottom w:val="nil"/>
              <w:right w:val="nil"/>
            </w:tcBorders>
            <w:shd w:val="clear" w:color="auto" w:fill="auto"/>
            <w:noWrap/>
            <w:vAlign w:val="center"/>
            <w:hideMark/>
          </w:tcPr>
          <w:p w14:paraId="51347F37"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 xml:space="preserve">v tom: </w:t>
            </w:r>
          </w:p>
        </w:tc>
        <w:tc>
          <w:tcPr>
            <w:tcW w:w="1240" w:type="dxa"/>
            <w:tcBorders>
              <w:top w:val="nil"/>
              <w:left w:val="nil"/>
              <w:bottom w:val="nil"/>
              <w:right w:val="nil"/>
            </w:tcBorders>
            <w:shd w:val="clear" w:color="auto" w:fill="auto"/>
            <w:noWrap/>
            <w:vAlign w:val="center"/>
            <w:hideMark/>
          </w:tcPr>
          <w:p w14:paraId="51347F38"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1100000</w:t>
            </w:r>
          </w:p>
        </w:tc>
        <w:tc>
          <w:tcPr>
            <w:tcW w:w="5422" w:type="dxa"/>
            <w:tcBorders>
              <w:top w:val="nil"/>
              <w:left w:val="nil"/>
              <w:bottom w:val="nil"/>
              <w:right w:val="nil"/>
            </w:tcBorders>
            <w:shd w:val="clear" w:color="auto" w:fill="auto"/>
            <w:noWrap/>
            <w:vAlign w:val="center"/>
            <w:hideMark/>
          </w:tcPr>
          <w:p w14:paraId="51347F39"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zdroj SR - základní</w:t>
            </w:r>
          </w:p>
        </w:tc>
        <w:tc>
          <w:tcPr>
            <w:tcW w:w="1701" w:type="dxa"/>
            <w:tcBorders>
              <w:top w:val="nil"/>
              <w:left w:val="nil"/>
              <w:bottom w:val="nil"/>
              <w:right w:val="nil"/>
            </w:tcBorders>
            <w:shd w:val="clear" w:color="auto" w:fill="auto"/>
            <w:noWrap/>
            <w:vAlign w:val="center"/>
            <w:hideMark/>
          </w:tcPr>
          <w:p w14:paraId="51347F3A"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800 000 000</w:t>
            </w:r>
          </w:p>
        </w:tc>
      </w:tr>
      <w:tr w:rsidR="00B016A1" w:rsidRPr="00B016A1" w14:paraId="51347F40"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F3C"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Paragraf</w:t>
            </w:r>
          </w:p>
        </w:tc>
        <w:tc>
          <w:tcPr>
            <w:tcW w:w="1240" w:type="dxa"/>
            <w:tcBorders>
              <w:top w:val="single" w:sz="4" w:space="0" w:color="auto"/>
              <w:left w:val="nil"/>
              <w:bottom w:val="nil"/>
              <w:right w:val="dashed" w:sz="4" w:space="0" w:color="auto"/>
            </w:tcBorders>
            <w:shd w:val="clear" w:color="auto" w:fill="auto"/>
            <w:vAlign w:val="center"/>
            <w:hideMark/>
          </w:tcPr>
          <w:p w14:paraId="51347F3D"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F3E"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F3F"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F45" w14:textId="77777777" w:rsidTr="00B016A1">
        <w:trPr>
          <w:trHeight w:val="360"/>
        </w:trPr>
        <w:tc>
          <w:tcPr>
            <w:tcW w:w="1008"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1347F41"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331900</w:t>
            </w:r>
          </w:p>
        </w:tc>
        <w:tc>
          <w:tcPr>
            <w:tcW w:w="1240" w:type="dxa"/>
            <w:tcBorders>
              <w:top w:val="dashed" w:sz="4" w:space="0" w:color="auto"/>
              <w:left w:val="nil"/>
              <w:bottom w:val="dashed" w:sz="4" w:space="0" w:color="auto"/>
              <w:right w:val="dashed" w:sz="4" w:space="0" w:color="auto"/>
            </w:tcBorders>
            <w:shd w:val="clear" w:color="auto" w:fill="auto"/>
            <w:noWrap/>
            <w:vAlign w:val="center"/>
            <w:hideMark/>
          </w:tcPr>
          <w:p w14:paraId="51347F42"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531</w:t>
            </w:r>
          </w:p>
        </w:tc>
        <w:tc>
          <w:tcPr>
            <w:tcW w:w="5422" w:type="dxa"/>
            <w:tcBorders>
              <w:top w:val="dashed" w:sz="4" w:space="0" w:color="auto"/>
              <w:left w:val="nil"/>
              <w:bottom w:val="dashed" w:sz="4" w:space="0" w:color="auto"/>
              <w:right w:val="dashed" w:sz="4" w:space="0" w:color="auto"/>
            </w:tcBorders>
            <w:shd w:val="clear" w:color="auto" w:fill="auto"/>
            <w:noWrap/>
            <w:vAlign w:val="center"/>
            <w:hideMark/>
          </w:tcPr>
          <w:p w14:paraId="51347F43"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veřejným rozpočtům ústřední úrovně</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14:paraId="51347F44"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800 000 000</w:t>
            </w:r>
          </w:p>
        </w:tc>
      </w:tr>
      <w:tr w:rsidR="00B016A1" w:rsidRPr="00B016A1" w14:paraId="51347F49" w14:textId="77777777" w:rsidTr="00B016A1">
        <w:trPr>
          <w:trHeight w:val="360"/>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F46"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331900</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F47"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Ostatní záležitosti kultury</w:t>
            </w:r>
          </w:p>
        </w:tc>
        <w:tc>
          <w:tcPr>
            <w:tcW w:w="1701" w:type="dxa"/>
            <w:tcBorders>
              <w:top w:val="nil"/>
              <w:left w:val="nil"/>
              <w:bottom w:val="single" w:sz="4" w:space="0" w:color="auto"/>
              <w:right w:val="single" w:sz="4" w:space="0" w:color="auto"/>
            </w:tcBorders>
            <w:shd w:val="clear" w:color="auto" w:fill="auto"/>
            <w:noWrap/>
            <w:vAlign w:val="center"/>
            <w:hideMark/>
          </w:tcPr>
          <w:p w14:paraId="51347F48"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800 000 000</w:t>
            </w:r>
          </w:p>
        </w:tc>
      </w:tr>
      <w:tr w:rsidR="00B016A1" w:rsidRPr="00B016A1" w14:paraId="51347F4E" w14:textId="77777777" w:rsidTr="00B016A1">
        <w:trPr>
          <w:trHeight w:val="619"/>
        </w:trPr>
        <w:tc>
          <w:tcPr>
            <w:tcW w:w="1008" w:type="dxa"/>
            <w:tcBorders>
              <w:top w:val="nil"/>
              <w:left w:val="nil"/>
              <w:bottom w:val="nil"/>
              <w:right w:val="nil"/>
            </w:tcBorders>
            <w:shd w:val="clear" w:color="auto" w:fill="auto"/>
            <w:noWrap/>
            <w:vAlign w:val="bottom"/>
            <w:hideMark/>
          </w:tcPr>
          <w:p w14:paraId="51347F4A" w14:textId="77777777" w:rsidR="00B016A1" w:rsidRPr="00B016A1" w:rsidRDefault="00B016A1" w:rsidP="00B016A1">
            <w:pPr>
              <w:spacing w:line="240" w:lineRule="auto"/>
              <w:jc w:val="center"/>
              <w:rPr>
                <w:rFonts w:ascii="Times New Roman" w:hAnsi="Times New Roman"/>
                <w:b/>
                <w:bCs/>
                <w:color w:val="000000"/>
                <w:szCs w:val="24"/>
              </w:rPr>
            </w:pPr>
            <w:r w:rsidRPr="00B016A1">
              <w:rPr>
                <w:rFonts w:ascii="Times New Roman" w:hAnsi="Times New Roman"/>
                <w:b/>
                <w:bCs/>
                <w:color w:val="000000"/>
                <w:szCs w:val="24"/>
              </w:rPr>
              <w:t>okruh</w:t>
            </w:r>
          </w:p>
        </w:tc>
        <w:tc>
          <w:tcPr>
            <w:tcW w:w="1240" w:type="dxa"/>
            <w:tcBorders>
              <w:top w:val="nil"/>
              <w:left w:val="nil"/>
              <w:bottom w:val="nil"/>
              <w:right w:val="nil"/>
            </w:tcBorders>
            <w:shd w:val="clear" w:color="auto" w:fill="auto"/>
            <w:noWrap/>
            <w:vAlign w:val="bottom"/>
            <w:hideMark/>
          </w:tcPr>
          <w:p w14:paraId="51347F4B"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509002</w:t>
            </w:r>
          </w:p>
        </w:tc>
        <w:tc>
          <w:tcPr>
            <w:tcW w:w="5422" w:type="dxa"/>
            <w:tcBorders>
              <w:top w:val="nil"/>
              <w:left w:val="nil"/>
              <w:bottom w:val="nil"/>
              <w:right w:val="nil"/>
            </w:tcBorders>
            <w:shd w:val="clear" w:color="auto" w:fill="auto"/>
            <w:noWrap/>
            <w:vAlign w:val="bottom"/>
            <w:hideMark/>
          </w:tcPr>
          <w:p w14:paraId="51347F4C" w14:textId="77777777" w:rsidR="00B016A1" w:rsidRPr="00B016A1" w:rsidRDefault="00B016A1" w:rsidP="00B016A1">
            <w:pPr>
              <w:spacing w:line="240" w:lineRule="auto"/>
              <w:jc w:val="left"/>
              <w:rPr>
                <w:rFonts w:ascii="Times New Roman" w:hAnsi="Times New Roman"/>
                <w:b/>
                <w:bCs/>
                <w:color w:val="000000"/>
                <w:szCs w:val="24"/>
              </w:rPr>
            </w:pPr>
            <w:r w:rsidRPr="00B016A1">
              <w:rPr>
                <w:rFonts w:ascii="Times New Roman" w:hAnsi="Times New Roman"/>
                <w:b/>
                <w:bCs/>
                <w:color w:val="000000"/>
                <w:szCs w:val="24"/>
              </w:rPr>
              <w:t>Dotace ze státního rozpočtu</w:t>
            </w:r>
          </w:p>
        </w:tc>
        <w:tc>
          <w:tcPr>
            <w:tcW w:w="1701" w:type="dxa"/>
            <w:tcBorders>
              <w:top w:val="nil"/>
              <w:left w:val="nil"/>
              <w:bottom w:val="nil"/>
              <w:right w:val="nil"/>
            </w:tcBorders>
            <w:shd w:val="clear" w:color="auto" w:fill="auto"/>
            <w:noWrap/>
            <w:vAlign w:val="bottom"/>
            <w:hideMark/>
          </w:tcPr>
          <w:p w14:paraId="51347F4D"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181 800 000</w:t>
            </w:r>
          </w:p>
        </w:tc>
      </w:tr>
      <w:tr w:rsidR="00B016A1" w:rsidRPr="00B016A1" w14:paraId="51347F53" w14:textId="77777777" w:rsidTr="00B016A1">
        <w:trPr>
          <w:trHeight w:val="360"/>
        </w:trPr>
        <w:tc>
          <w:tcPr>
            <w:tcW w:w="1008" w:type="dxa"/>
            <w:tcBorders>
              <w:top w:val="nil"/>
              <w:left w:val="nil"/>
              <w:bottom w:val="nil"/>
              <w:right w:val="nil"/>
            </w:tcBorders>
            <w:shd w:val="clear" w:color="auto" w:fill="auto"/>
            <w:noWrap/>
            <w:vAlign w:val="center"/>
            <w:hideMark/>
          </w:tcPr>
          <w:p w14:paraId="51347F4F"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 xml:space="preserve">v tom: </w:t>
            </w:r>
          </w:p>
        </w:tc>
        <w:tc>
          <w:tcPr>
            <w:tcW w:w="1240" w:type="dxa"/>
            <w:tcBorders>
              <w:top w:val="nil"/>
              <w:left w:val="nil"/>
              <w:bottom w:val="nil"/>
              <w:right w:val="nil"/>
            </w:tcBorders>
            <w:shd w:val="clear" w:color="auto" w:fill="auto"/>
            <w:noWrap/>
            <w:vAlign w:val="center"/>
            <w:hideMark/>
          </w:tcPr>
          <w:p w14:paraId="51347F50"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1100000</w:t>
            </w:r>
          </w:p>
        </w:tc>
        <w:tc>
          <w:tcPr>
            <w:tcW w:w="5422" w:type="dxa"/>
            <w:tcBorders>
              <w:top w:val="nil"/>
              <w:left w:val="nil"/>
              <w:bottom w:val="nil"/>
              <w:right w:val="nil"/>
            </w:tcBorders>
            <w:shd w:val="clear" w:color="auto" w:fill="auto"/>
            <w:noWrap/>
            <w:vAlign w:val="center"/>
            <w:hideMark/>
          </w:tcPr>
          <w:p w14:paraId="51347F51"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zdroj SR - základní</w:t>
            </w:r>
          </w:p>
        </w:tc>
        <w:tc>
          <w:tcPr>
            <w:tcW w:w="1701" w:type="dxa"/>
            <w:tcBorders>
              <w:top w:val="nil"/>
              <w:left w:val="nil"/>
              <w:bottom w:val="nil"/>
              <w:right w:val="nil"/>
            </w:tcBorders>
            <w:shd w:val="clear" w:color="auto" w:fill="auto"/>
            <w:noWrap/>
            <w:vAlign w:val="center"/>
            <w:hideMark/>
          </w:tcPr>
          <w:p w14:paraId="51347F52"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181 800 000</w:t>
            </w:r>
          </w:p>
        </w:tc>
      </w:tr>
      <w:tr w:rsidR="00B016A1" w:rsidRPr="00B016A1" w14:paraId="51347F58" w14:textId="77777777" w:rsidTr="00B016A1">
        <w:trPr>
          <w:trHeight w:val="559"/>
        </w:trPr>
        <w:tc>
          <w:tcPr>
            <w:tcW w:w="1008" w:type="dxa"/>
            <w:tcBorders>
              <w:top w:val="single" w:sz="4" w:space="0" w:color="auto"/>
              <w:left w:val="single" w:sz="4" w:space="0" w:color="auto"/>
              <w:bottom w:val="nil"/>
              <w:right w:val="dashed" w:sz="4" w:space="0" w:color="auto"/>
            </w:tcBorders>
            <w:shd w:val="clear" w:color="auto" w:fill="auto"/>
            <w:noWrap/>
            <w:vAlign w:val="center"/>
            <w:hideMark/>
          </w:tcPr>
          <w:p w14:paraId="51347F54"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Paragraf</w:t>
            </w:r>
          </w:p>
        </w:tc>
        <w:tc>
          <w:tcPr>
            <w:tcW w:w="1240" w:type="dxa"/>
            <w:tcBorders>
              <w:top w:val="single" w:sz="4" w:space="0" w:color="auto"/>
              <w:left w:val="nil"/>
              <w:bottom w:val="nil"/>
              <w:right w:val="dashed" w:sz="4" w:space="0" w:color="auto"/>
            </w:tcBorders>
            <w:shd w:val="clear" w:color="auto" w:fill="auto"/>
            <w:vAlign w:val="center"/>
            <w:hideMark/>
          </w:tcPr>
          <w:p w14:paraId="51347F55" w14:textId="77777777" w:rsidR="00B016A1" w:rsidRPr="00B016A1" w:rsidRDefault="00B016A1" w:rsidP="00B016A1">
            <w:pPr>
              <w:spacing w:line="240" w:lineRule="auto"/>
              <w:jc w:val="center"/>
              <w:rPr>
                <w:rFonts w:ascii="Times New Roman" w:hAnsi="Times New Roman"/>
                <w:i/>
                <w:iCs/>
                <w:color w:val="000000"/>
                <w:sz w:val="20"/>
              </w:rPr>
            </w:pPr>
            <w:r w:rsidRPr="00B016A1">
              <w:rPr>
                <w:rFonts w:ascii="Times New Roman" w:hAnsi="Times New Roman"/>
                <w:i/>
                <w:iCs/>
                <w:color w:val="000000"/>
                <w:sz w:val="20"/>
              </w:rPr>
              <w:t>Podseskupení položek</w:t>
            </w:r>
          </w:p>
        </w:tc>
        <w:tc>
          <w:tcPr>
            <w:tcW w:w="5422" w:type="dxa"/>
            <w:tcBorders>
              <w:top w:val="single" w:sz="4" w:space="0" w:color="auto"/>
              <w:left w:val="nil"/>
              <w:bottom w:val="nil"/>
              <w:right w:val="dashed" w:sz="4" w:space="0" w:color="auto"/>
            </w:tcBorders>
            <w:shd w:val="clear" w:color="auto" w:fill="auto"/>
            <w:vAlign w:val="center"/>
            <w:hideMark/>
          </w:tcPr>
          <w:p w14:paraId="51347F56" w14:textId="77777777" w:rsidR="00B016A1" w:rsidRPr="00B016A1" w:rsidRDefault="00B016A1" w:rsidP="00B016A1">
            <w:pPr>
              <w:spacing w:line="240" w:lineRule="auto"/>
              <w:jc w:val="left"/>
              <w:rPr>
                <w:rFonts w:ascii="Times New Roman" w:hAnsi="Times New Roman"/>
                <w:i/>
                <w:iCs/>
                <w:color w:val="000000"/>
                <w:sz w:val="22"/>
                <w:szCs w:val="22"/>
              </w:rPr>
            </w:pPr>
            <w:r w:rsidRPr="00B016A1">
              <w:rPr>
                <w:rFonts w:ascii="Times New Roman" w:hAnsi="Times New Roman"/>
                <w:i/>
                <w:iCs/>
                <w:color w:val="000000"/>
                <w:sz w:val="22"/>
                <w:szCs w:val="22"/>
              </w:rPr>
              <w:t>Podseskupení položek - název</w:t>
            </w:r>
          </w:p>
        </w:tc>
        <w:tc>
          <w:tcPr>
            <w:tcW w:w="1701" w:type="dxa"/>
            <w:tcBorders>
              <w:top w:val="single" w:sz="4" w:space="0" w:color="auto"/>
              <w:left w:val="nil"/>
              <w:bottom w:val="nil"/>
              <w:right w:val="single" w:sz="4" w:space="0" w:color="auto"/>
            </w:tcBorders>
            <w:shd w:val="clear" w:color="auto" w:fill="auto"/>
            <w:noWrap/>
            <w:vAlign w:val="center"/>
            <w:hideMark/>
          </w:tcPr>
          <w:p w14:paraId="51347F57" w14:textId="77777777" w:rsidR="00B016A1" w:rsidRPr="00B016A1" w:rsidRDefault="00B016A1" w:rsidP="00B016A1">
            <w:pPr>
              <w:spacing w:line="240" w:lineRule="auto"/>
              <w:jc w:val="center"/>
              <w:rPr>
                <w:rFonts w:ascii="Times New Roman" w:hAnsi="Times New Roman"/>
                <w:i/>
                <w:iCs/>
                <w:color w:val="000000"/>
                <w:sz w:val="22"/>
                <w:szCs w:val="22"/>
              </w:rPr>
            </w:pPr>
            <w:r w:rsidRPr="00B016A1">
              <w:rPr>
                <w:rFonts w:ascii="Times New Roman" w:hAnsi="Times New Roman"/>
                <w:i/>
                <w:iCs/>
                <w:color w:val="000000"/>
                <w:sz w:val="22"/>
                <w:szCs w:val="22"/>
              </w:rPr>
              <w:t>Částka (Kč)</w:t>
            </w:r>
          </w:p>
        </w:tc>
      </w:tr>
      <w:tr w:rsidR="00B016A1" w:rsidRPr="00B016A1" w14:paraId="51347F5D" w14:textId="77777777" w:rsidTr="00B016A1">
        <w:trPr>
          <w:trHeight w:val="360"/>
        </w:trPr>
        <w:tc>
          <w:tcPr>
            <w:tcW w:w="1008" w:type="dxa"/>
            <w:tcBorders>
              <w:top w:val="dashed" w:sz="4" w:space="0" w:color="auto"/>
              <w:left w:val="single" w:sz="4" w:space="0" w:color="auto"/>
              <w:bottom w:val="nil"/>
              <w:right w:val="dashed" w:sz="4" w:space="0" w:color="auto"/>
            </w:tcBorders>
            <w:shd w:val="clear" w:color="auto" w:fill="auto"/>
            <w:noWrap/>
            <w:vAlign w:val="center"/>
            <w:hideMark/>
          </w:tcPr>
          <w:p w14:paraId="51347F59"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331900</w:t>
            </w:r>
          </w:p>
        </w:tc>
        <w:tc>
          <w:tcPr>
            <w:tcW w:w="1240" w:type="dxa"/>
            <w:tcBorders>
              <w:top w:val="dashed" w:sz="4" w:space="0" w:color="auto"/>
              <w:left w:val="nil"/>
              <w:bottom w:val="nil"/>
              <w:right w:val="dashed" w:sz="4" w:space="0" w:color="auto"/>
            </w:tcBorders>
            <w:shd w:val="clear" w:color="auto" w:fill="auto"/>
            <w:noWrap/>
            <w:vAlign w:val="center"/>
            <w:hideMark/>
          </w:tcPr>
          <w:p w14:paraId="51347F5A"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531</w:t>
            </w:r>
          </w:p>
        </w:tc>
        <w:tc>
          <w:tcPr>
            <w:tcW w:w="5422" w:type="dxa"/>
            <w:tcBorders>
              <w:top w:val="dashed" w:sz="4" w:space="0" w:color="auto"/>
              <w:left w:val="nil"/>
              <w:bottom w:val="nil"/>
              <w:right w:val="dashed" w:sz="4" w:space="0" w:color="auto"/>
            </w:tcBorders>
            <w:shd w:val="clear" w:color="auto" w:fill="auto"/>
            <w:noWrap/>
            <w:vAlign w:val="center"/>
            <w:hideMark/>
          </w:tcPr>
          <w:p w14:paraId="51347F5B"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Neinvestiční transfery veřejným rozpočtům ústřední úrovně</w:t>
            </w:r>
          </w:p>
        </w:tc>
        <w:tc>
          <w:tcPr>
            <w:tcW w:w="1701" w:type="dxa"/>
            <w:tcBorders>
              <w:top w:val="dashed" w:sz="4" w:space="0" w:color="auto"/>
              <w:left w:val="nil"/>
              <w:bottom w:val="nil"/>
              <w:right w:val="single" w:sz="4" w:space="0" w:color="auto"/>
            </w:tcBorders>
            <w:shd w:val="clear" w:color="auto" w:fill="auto"/>
            <w:noWrap/>
            <w:vAlign w:val="center"/>
            <w:hideMark/>
          </w:tcPr>
          <w:p w14:paraId="51347F5C"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1 800 000</w:t>
            </w:r>
          </w:p>
        </w:tc>
      </w:tr>
      <w:tr w:rsidR="00B016A1" w:rsidRPr="00B016A1" w14:paraId="51347F62" w14:textId="77777777" w:rsidTr="00B016A1">
        <w:trPr>
          <w:trHeight w:val="360"/>
        </w:trPr>
        <w:tc>
          <w:tcPr>
            <w:tcW w:w="1008" w:type="dxa"/>
            <w:tcBorders>
              <w:top w:val="nil"/>
              <w:left w:val="single" w:sz="4" w:space="0" w:color="auto"/>
              <w:bottom w:val="dashed" w:sz="4" w:space="0" w:color="auto"/>
              <w:right w:val="dashed" w:sz="4" w:space="0" w:color="auto"/>
            </w:tcBorders>
            <w:shd w:val="clear" w:color="auto" w:fill="auto"/>
            <w:noWrap/>
            <w:vAlign w:val="center"/>
            <w:hideMark/>
          </w:tcPr>
          <w:p w14:paraId="51347F5E"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331900</w:t>
            </w:r>
          </w:p>
        </w:tc>
        <w:tc>
          <w:tcPr>
            <w:tcW w:w="1240" w:type="dxa"/>
            <w:tcBorders>
              <w:top w:val="nil"/>
              <w:left w:val="nil"/>
              <w:bottom w:val="dashed" w:sz="4" w:space="0" w:color="auto"/>
              <w:right w:val="dashed" w:sz="4" w:space="0" w:color="auto"/>
            </w:tcBorders>
            <w:shd w:val="clear" w:color="auto" w:fill="auto"/>
            <w:noWrap/>
            <w:vAlign w:val="center"/>
            <w:hideMark/>
          </w:tcPr>
          <w:p w14:paraId="51347F5F" w14:textId="77777777" w:rsidR="00B016A1" w:rsidRPr="00B016A1" w:rsidRDefault="00B016A1" w:rsidP="00B016A1">
            <w:pPr>
              <w:spacing w:line="240" w:lineRule="auto"/>
              <w:jc w:val="center"/>
              <w:rPr>
                <w:rFonts w:ascii="Times New Roman" w:hAnsi="Times New Roman"/>
                <w:color w:val="000000"/>
                <w:sz w:val="22"/>
                <w:szCs w:val="22"/>
              </w:rPr>
            </w:pPr>
            <w:r w:rsidRPr="00B016A1">
              <w:rPr>
                <w:rFonts w:ascii="Times New Roman" w:hAnsi="Times New Roman"/>
                <w:color w:val="000000"/>
                <w:sz w:val="22"/>
                <w:szCs w:val="22"/>
              </w:rPr>
              <w:t>633</w:t>
            </w:r>
          </w:p>
        </w:tc>
        <w:tc>
          <w:tcPr>
            <w:tcW w:w="5422" w:type="dxa"/>
            <w:tcBorders>
              <w:top w:val="nil"/>
              <w:left w:val="nil"/>
              <w:bottom w:val="dashed" w:sz="4" w:space="0" w:color="auto"/>
              <w:right w:val="dashed" w:sz="4" w:space="0" w:color="auto"/>
            </w:tcBorders>
            <w:shd w:val="clear" w:color="auto" w:fill="auto"/>
            <w:noWrap/>
            <w:vAlign w:val="center"/>
            <w:hideMark/>
          </w:tcPr>
          <w:p w14:paraId="51347F60" w14:textId="77777777" w:rsidR="00B016A1" w:rsidRPr="00B016A1" w:rsidRDefault="00B016A1" w:rsidP="00B016A1">
            <w:pPr>
              <w:spacing w:line="240" w:lineRule="auto"/>
              <w:jc w:val="left"/>
              <w:rPr>
                <w:rFonts w:ascii="Times New Roman" w:hAnsi="Times New Roman"/>
                <w:color w:val="000000"/>
                <w:sz w:val="22"/>
                <w:szCs w:val="22"/>
              </w:rPr>
            </w:pPr>
            <w:r w:rsidRPr="00B016A1">
              <w:rPr>
                <w:rFonts w:ascii="Times New Roman" w:hAnsi="Times New Roman"/>
                <w:color w:val="000000"/>
                <w:sz w:val="22"/>
                <w:szCs w:val="22"/>
              </w:rPr>
              <w:t>Investiční transfery veřejným rozpočtům ústřední úrovně</w:t>
            </w:r>
          </w:p>
        </w:tc>
        <w:tc>
          <w:tcPr>
            <w:tcW w:w="1701" w:type="dxa"/>
            <w:tcBorders>
              <w:top w:val="nil"/>
              <w:left w:val="nil"/>
              <w:bottom w:val="dashed" w:sz="4" w:space="0" w:color="auto"/>
              <w:right w:val="single" w:sz="4" w:space="0" w:color="auto"/>
            </w:tcBorders>
            <w:shd w:val="clear" w:color="auto" w:fill="auto"/>
            <w:noWrap/>
            <w:vAlign w:val="center"/>
            <w:hideMark/>
          </w:tcPr>
          <w:p w14:paraId="51347F61" w14:textId="77777777" w:rsidR="00B016A1" w:rsidRPr="00B016A1" w:rsidRDefault="00B016A1" w:rsidP="00B016A1">
            <w:pPr>
              <w:spacing w:line="240" w:lineRule="auto"/>
              <w:jc w:val="right"/>
              <w:rPr>
                <w:rFonts w:ascii="Times New Roman" w:hAnsi="Times New Roman"/>
                <w:color w:val="000000"/>
                <w:sz w:val="22"/>
                <w:szCs w:val="22"/>
              </w:rPr>
            </w:pPr>
            <w:r w:rsidRPr="00B016A1">
              <w:rPr>
                <w:rFonts w:ascii="Times New Roman" w:hAnsi="Times New Roman"/>
                <w:color w:val="000000"/>
                <w:sz w:val="22"/>
                <w:szCs w:val="22"/>
              </w:rPr>
              <w:t>180 000 000</w:t>
            </w:r>
          </w:p>
        </w:tc>
      </w:tr>
      <w:tr w:rsidR="00B016A1" w:rsidRPr="00B016A1" w14:paraId="51347F66" w14:textId="77777777" w:rsidTr="00B016A1">
        <w:trPr>
          <w:trHeight w:val="360"/>
        </w:trPr>
        <w:tc>
          <w:tcPr>
            <w:tcW w:w="1008" w:type="dxa"/>
            <w:tcBorders>
              <w:top w:val="nil"/>
              <w:left w:val="single" w:sz="4" w:space="0" w:color="auto"/>
              <w:bottom w:val="single" w:sz="4" w:space="0" w:color="auto"/>
              <w:right w:val="dashed" w:sz="4" w:space="0" w:color="auto"/>
            </w:tcBorders>
            <w:shd w:val="clear" w:color="auto" w:fill="auto"/>
            <w:noWrap/>
            <w:vAlign w:val="center"/>
            <w:hideMark/>
          </w:tcPr>
          <w:p w14:paraId="51347F63" w14:textId="77777777" w:rsidR="00B016A1" w:rsidRPr="00B016A1" w:rsidRDefault="00B016A1" w:rsidP="00B016A1">
            <w:pPr>
              <w:spacing w:line="240" w:lineRule="auto"/>
              <w:jc w:val="center"/>
              <w:rPr>
                <w:rFonts w:ascii="Times New Roman" w:hAnsi="Times New Roman"/>
                <w:b/>
                <w:bCs/>
                <w:color w:val="000000"/>
                <w:sz w:val="22"/>
                <w:szCs w:val="22"/>
              </w:rPr>
            </w:pPr>
            <w:r w:rsidRPr="00B016A1">
              <w:rPr>
                <w:rFonts w:ascii="Times New Roman" w:hAnsi="Times New Roman"/>
                <w:b/>
                <w:bCs/>
                <w:color w:val="000000"/>
                <w:sz w:val="22"/>
                <w:szCs w:val="22"/>
              </w:rPr>
              <w:t>331900</w:t>
            </w:r>
          </w:p>
        </w:tc>
        <w:tc>
          <w:tcPr>
            <w:tcW w:w="6662" w:type="dxa"/>
            <w:gridSpan w:val="2"/>
            <w:tcBorders>
              <w:top w:val="dashed" w:sz="4" w:space="0" w:color="auto"/>
              <w:left w:val="nil"/>
              <w:bottom w:val="single" w:sz="4" w:space="0" w:color="auto"/>
              <w:right w:val="dashed" w:sz="4" w:space="0" w:color="000000"/>
            </w:tcBorders>
            <w:shd w:val="clear" w:color="auto" w:fill="auto"/>
            <w:vAlign w:val="center"/>
            <w:hideMark/>
          </w:tcPr>
          <w:p w14:paraId="51347F64" w14:textId="77777777" w:rsidR="00B016A1" w:rsidRPr="00B016A1" w:rsidRDefault="00B016A1" w:rsidP="00B016A1">
            <w:pPr>
              <w:spacing w:line="240" w:lineRule="auto"/>
              <w:jc w:val="left"/>
              <w:rPr>
                <w:rFonts w:ascii="Times New Roman" w:hAnsi="Times New Roman"/>
                <w:b/>
                <w:bCs/>
                <w:color w:val="000000"/>
                <w:sz w:val="22"/>
                <w:szCs w:val="22"/>
              </w:rPr>
            </w:pPr>
            <w:r w:rsidRPr="00B016A1">
              <w:rPr>
                <w:rFonts w:ascii="Times New Roman" w:hAnsi="Times New Roman"/>
                <w:b/>
                <w:bCs/>
                <w:color w:val="000000"/>
                <w:sz w:val="22"/>
                <w:szCs w:val="22"/>
              </w:rPr>
              <w:t>součet za paragraf Ostatní záležitosti kultury</w:t>
            </w:r>
          </w:p>
        </w:tc>
        <w:tc>
          <w:tcPr>
            <w:tcW w:w="1701" w:type="dxa"/>
            <w:tcBorders>
              <w:top w:val="nil"/>
              <w:left w:val="nil"/>
              <w:bottom w:val="single" w:sz="4" w:space="0" w:color="auto"/>
              <w:right w:val="single" w:sz="4" w:space="0" w:color="auto"/>
            </w:tcBorders>
            <w:shd w:val="clear" w:color="auto" w:fill="auto"/>
            <w:noWrap/>
            <w:vAlign w:val="center"/>
            <w:hideMark/>
          </w:tcPr>
          <w:p w14:paraId="51347F65" w14:textId="77777777" w:rsidR="00B016A1" w:rsidRPr="00B016A1" w:rsidRDefault="00B016A1" w:rsidP="00B016A1">
            <w:pPr>
              <w:spacing w:line="240" w:lineRule="auto"/>
              <w:jc w:val="right"/>
              <w:rPr>
                <w:rFonts w:ascii="Times New Roman" w:hAnsi="Times New Roman"/>
                <w:b/>
                <w:bCs/>
                <w:color w:val="000000"/>
                <w:sz w:val="22"/>
                <w:szCs w:val="22"/>
              </w:rPr>
            </w:pPr>
            <w:r w:rsidRPr="00B016A1">
              <w:rPr>
                <w:rFonts w:ascii="Times New Roman" w:hAnsi="Times New Roman"/>
                <w:b/>
                <w:bCs/>
                <w:color w:val="000000"/>
                <w:sz w:val="22"/>
                <w:szCs w:val="22"/>
              </w:rPr>
              <w:t>181 800 000</w:t>
            </w:r>
          </w:p>
        </w:tc>
      </w:tr>
      <w:tr w:rsidR="00B016A1" w:rsidRPr="00B016A1" w14:paraId="51347F6B" w14:textId="77777777" w:rsidTr="0085383F">
        <w:trPr>
          <w:trHeight w:val="512"/>
        </w:trPr>
        <w:tc>
          <w:tcPr>
            <w:tcW w:w="1008" w:type="dxa"/>
            <w:tcBorders>
              <w:top w:val="nil"/>
              <w:left w:val="nil"/>
              <w:bottom w:val="nil"/>
              <w:right w:val="nil"/>
            </w:tcBorders>
            <w:shd w:val="clear" w:color="auto" w:fill="auto"/>
            <w:noWrap/>
            <w:vAlign w:val="bottom"/>
            <w:hideMark/>
          </w:tcPr>
          <w:p w14:paraId="51347F67" w14:textId="77777777" w:rsidR="00B016A1" w:rsidRPr="00B016A1" w:rsidRDefault="00B016A1" w:rsidP="00B016A1">
            <w:pPr>
              <w:spacing w:line="240" w:lineRule="auto"/>
              <w:jc w:val="center"/>
              <w:rPr>
                <w:rFonts w:ascii="Calibri" w:hAnsi="Calibri"/>
                <w:b/>
                <w:bCs/>
                <w:color w:val="000000"/>
                <w:sz w:val="22"/>
                <w:szCs w:val="22"/>
              </w:rPr>
            </w:pPr>
          </w:p>
        </w:tc>
        <w:tc>
          <w:tcPr>
            <w:tcW w:w="1240" w:type="dxa"/>
            <w:tcBorders>
              <w:top w:val="nil"/>
              <w:left w:val="nil"/>
              <w:bottom w:val="nil"/>
              <w:right w:val="nil"/>
            </w:tcBorders>
            <w:shd w:val="clear" w:color="auto" w:fill="auto"/>
            <w:noWrap/>
            <w:vAlign w:val="bottom"/>
            <w:hideMark/>
          </w:tcPr>
          <w:p w14:paraId="51347F68" w14:textId="77777777" w:rsidR="00B016A1" w:rsidRPr="00B016A1" w:rsidRDefault="00B016A1" w:rsidP="00B016A1">
            <w:pPr>
              <w:spacing w:line="240" w:lineRule="auto"/>
              <w:jc w:val="left"/>
              <w:rPr>
                <w:rFonts w:ascii="Calibri" w:hAnsi="Calibri"/>
                <w:b/>
                <w:bCs/>
                <w:color w:val="000000"/>
                <w:sz w:val="22"/>
                <w:szCs w:val="22"/>
              </w:rPr>
            </w:pPr>
          </w:p>
        </w:tc>
        <w:tc>
          <w:tcPr>
            <w:tcW w:w="5422" w:type="dxa"/>
            <w:tcBorders>
              <w:top w:val="nil"/>
              <w:left w:val="nil"/>
              <w:bottom w:val="nil"/>
              <w:right w:val="nil"/>
            </w:tcBorders>
            <w:shd w:val="clear" w:color="auto" w:fill="auto"/>
            <w:noWrap/>
            <w:vAlign w:val="bottom"/>
            <w:hideMark/>
          </w:tcPr>
          <w:p w14:paraId="51347F69" w14:textId="77777777" w:rsidR="00B016A1" w:rsidRPr="00B016A1" w:rsidRDefault="00B016A1" w:rsidP="00B016A1">
            <w:pPr>
              <w:spacing w:line="240" w:lineRule="auto"/>
              <w:jc w:val="left"/>
              <w:rPr>
                <w:rFonts w:ascii="Calibri" w:hAnsi="Calibri"/>
                <w:b/>
                <w:bCs/>
                <w:color w:val="000000"/>
                <w:sz w:val="22"/>
                <w:szCs w:val="22"/>
              </w:rPr>
            </w:pPr>
          </w:p>
        </w:tc>
        <w:tc>
          <w:tcPr>
            <w:tcW w:w="1701" w:type="dxa"/>
            <w:tcBorders>
              <w:top w:val="nil"/>
              <w:left w:val="nil"/>
              <w:bottom w:val="nil"/>
              <w:right w:val="nil"/>
            </w:tcBorders>
            <w:shd w:val="clear" w:color="auto" w:fill="auto"/>
            <w:noWrap/>
            <w:vAlign w:val="bottom"/>
            <w:hideMark/>
          </w:tcPr>
          <w:p w14:paraId="51347F6A" w14:textId="77777777" w:rsidR="00B016A1" w:rsidRPr="00B016A1" w:rsidRDefault="00B016A1" w:rsidP="00B016A1">
            <w:pPr>
              <w:spacing w:line="240" w:lineRule="auto"/>
              <w:jc w:val="left"/>
              <w:rPr>
                <w:rFonts w:ascii="Calibri" w:hAnsi="Calibri"/>
                <w:b/>
                <w:bCs/>
                <w:color w:val="000000"/>
                <w:sz w:val="22"/>
                <w:szCs w:val="22"/>
              </w:rPr>
            </w:pPr>
          </w:p>
        </w:tc>
      </w:tr>
      <w:tr w:rsidR="00B016A1" w:rsidRPr="00B016A1" w14:paraId="51347F70" w14:textId="77777777" w:rsidTr="00B016A1">
        <w:trPr>
          <w:trHeight w:val="300"/>
        </w:trPr>
        <w:tc>
          <w:tcPr>
            <w:tcW w:w="1008" w:type="dxa"/>
            <w:tcBorders>
              <w:top w:val="nil"/>
              <w:left w:val="nil"/>
              <w:bottom w:val="nil"/>
              <w:right w:val="nil"/>
            </w:tcBorders>
            <w:shd w:val="clear" w:color="auto" w:fill="auto"/>
            <w:noWrap/>
            <w:vAlign w:val="bottom"/>
            <w:hideMark/>
          </w:tcPr>
          <w:p w14:paraId="51347F6C" w14:textId="77777777" w:rsidR="00B016A1" w:rsidRPr="00B016A1" w:rsidRDefault="00B016A1" w:rsidP="00B016A1">
            <w:pPr>
              <w:spacing w:line="240" w:lineRule="auto"/>
              <w:jc w:val="center"/>
              <w:rPr>
                <w:rFonts w:ascii="Calibri" w:hAnsi="Calibri"/>
                <w:color w:val="000000"/>
                <w:sz w:val="22"/>
                <w:szCs w:val="22"/>
              </w:rPr>
            </w:pPr>
          </w:p>
        </w:tc>
        <w:tc>
          <w:tcPr>
            <w:tcW w:w="1240" w:type="dxa"/>
            <w:tcBorders>
              <w:top w:val="nil"/>
              <w:left w:val="nil"/>
              <w:bottom w:val="nil"/>
              <w:right w:val="nil"/>
            </w:tcBorders>
            <w:shd w:val="clear" w:color="auto" w:fill="auto"/>
            <w:noWrap/>
            <w:vAlign w:val="bottom"/>
            <w:hideMark/>
          </w:tcPr>
          <w:p w14:paraId="51347F6D" w14:textId="77777777" w:rsidR="00B016A1" w:rsidRPr="00B016A1" w:rsidRDefault="00B016A1" w:rsidP="00B016A1">
            <w:pPr>
              <w:spacing w:line="240" w:lineRule="auto"/>
              <w:jc w:val="left"/>
              <w:rPr>
                <w:rFonts w:ascii="Calibri" w:hAnsi="Calibri"/>
                <w:color w:val="000000"/>
                <w:sz w:val="22"/>
                <w:szCs w:val="22"/>
              </w:rPr>
            </w:pPr>
          </w:p>
        </w:tc>
        <w:tc>
          <w:tcPr>
            <w:tcW w:w="5422" w:type="dxa"/>
            <w:tcBorders>
              <w:top w:val="nil"/>
              <w:left w:val="nil"/>
              <w:bottom w:val="nil"/>
              <w:right w:val="nil"/>
            </w:tcBorders>
            <w:shd w:val="clear" w:color="auto" w:fill="auto"/>
            <w:noWrap/>
            <w:vAlign w:val="bottom"/>
            <w:hideMark/>
          </w:tcPr>
          <w:p w14:paraId="51347F6E" w14:textId="77777777" w:rsidR="00B016A1" w:rsidRPr="00B016A1" w:rsidRDefault="00B016A1" w:rsidP="00B016A1">
            <w:pPr>
              <w:spacing w:line="240" w:lineRule="auto"/>
              <w:jc w:val="left"/>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14:paraId="51347F6F" w14:textId="77777777" w:rsidR="00B016A1" w:rsidRPr="00B016A1" w:rsidRDefault="00B016A1" w:rsidP="00B016A1">
            <w:pPr>
              <w:spacing w:line="240" w:lineRule="auto"/>
              <w:jc w:val="left"/>
              <w:rPr>
                <w:rFonts w:ascii="Calibri" w:hAnsi="Calibri"/>
                <w:color w:val="000000"/>
                <w:sz w:val="22"/>
                <w:szCs w:val="22"/>
              </w:rPr>
            </w:pPr>
          </w:p>
        </w:tc>
      </w:tr>
      <w:tr w:rsidR="00B016A1" w:rsidRPr="00B016A1" w14:paraId="51347F74" w14:textId="77777777" w:rsidTr="0085383F">
        <w:trPr>
          <w:trHeight w:val="474"/>
        </w:trPr>
        <w:tc>
          <w:tcPr>
            <w:tcW w:w="1008" w:type="dxa"/>
            <w:tcBorders>
              <w:top w:val="nil"/>
              <w:left w:val="nil"/>
              <w:bottom w:val="nil"/>
              <w:right w:val="nil"/>
            </w:tcBorders>
            <w:shd w:val="clear" w:color="auto" w:fill="auto"/>
            <w:noWrap/>
            <w:vAlign w:val="bottom"/>
            <w:hideMark/>
          </w:tcPr>
          <w:p w14:paraId="51347F71" w14:textId="77777777" w:rsidR="00B016A1" w:rsidRPr="00B016A1" w:rsidRDefault="00B016A1" w:rsidP="00B016A1">
            <w:pPr>
              <w:spacing w:line="240" w:lineRule="auto"/>
              <w:jc w:val="center"/>
              <w:rPr>
                <w:rFonts w:ascii="Calibri" w:hAnsi="Calibri"/>
                <w:color w:val="000000"/>
                <w:sz w:val="22"/>
                <w:szCs w:val="22"/>
              </w:rPr>
            </w:pPr>
          </w:p>
        </w:tc>
        <w:tc>
          <w:tcPr>
            <w:tcW w:w="6662" w:type="dxa"/>
            <w:gridSpan w:val="2"/>
            <w:tcBorders>
              <w:top w:val="nil"/>
              <w:left w:val="nil"/>
              <w:bottom w:val="nil"/>
              <w:right w:val="nil"/>
            </w:tcBorders>
            <w:shd w:val="clear" w:color="auto" w:fill="auto"/>
            <w:vAlign w:val="center"/>
            <w:hideMark/>
          </w:tcPr>
          <w:p w14:paraId="51347F72" w14:textId="77777777" w:rsidR="00B016A1" w:rsidRPr="00B016A1" w:rsidRDefault="009B104E" w:rsidP="009B104E">
            <w:pPr>
              <w:spacing w:line="240" w:lineRule="auto"/>
              <w:jc w:val="left"/>
              <w:rPr>
                <w:rFonts w:ascii="Times New Roman" w:hAnsi="Times New Roman"/>
                <w:b/>
                <w:bCs/>
                <w:color w:val="000000"/>
                <w:sz w:val="26"/>
                <w:szCs w:val="26"/>
              </w:rPr>
            </w:pPr>
            <w:r>
              <w:rPr>
                <w:rFonts w:ascii="Times New Roman" w:hAnsi="Times New Roman"/>
                <w:b/>
                <w:bCs/>
                <w:color w:val="000000"/>
                <w:sz w:val="26"/>
                <w:szCs w:val="26"/>
              </w:rPr>
              <w:t>SCHVÁLENÝ R</w:t>
            </w:r>
            <w:r w:rsidR="00B016A1" w:rsidRPr="00B016A1">
              <w:rPr>
                <w:rFonts w:ascii="Times New Roman" w:hAnsi="Times New Roman"/>
                <w:b/>
                <w:bCs/>
                <w:color w:val="000000"/>
                <w:sz w:val="26"/>
                <w:szCs w:val="26"/>
              </w:rPr>
              <w:t>OZPOČ</w:t>
            </w:r>
            <w:r>
              <w:rPr>
                <w:rFonts w:ascii="Times New Roman" w:hAnsi="Times New Roman"/>
                <w:b/>
                <w:bCs/>
                <w:color w:val="000000"/>
                <w:sz w:val="26"/>
                <w:szCs w:val="26"/>
              </w:rPr>
              <w:t>E</w:t>
            </w:r>
            <w:r w:rsidR="00B016A1" w:rsidRPr="00B016A1">
              <w:rPr>
                <w:rFonts w:ascii="Times New Roman" w:hAnsi="Times New Roman"/>
                <w:b/>
                <w:bCs/>
                <w:color w:val="000000"/>
                <w:sz w:val="26"/>
                <w:szCs w:val="26"/>
              </w:rPr>
              <w:t>T NA ROK 2016 - celkem</w:t>
            </w:r>
          </w:p>
        </w:tc>
        <w:tc>
          <w:tcPr>
            <w:tcW w:w="1701" w:type="dxa"/>
            <w:tcBorders>
              <w:top w:val="nil"/>
              <w:left w:val="nil"/>
              <w:bottom w:val="nil"/>
              <w:right w:val="nil"/>
            </w:tcBorders>
            <w:shd w:val="clear" w:color="auto" w:fill="auto"/>
            <w:noWrap/>
            <w:vAlign w:val="center"/>
            <w:hideMark/>
          </w:tcPr>
          <w:p w14:paraId="51347F73" w14:textId="77777777" w:rsidR="00B016A1" w:rsidRPr="00B016A1" w:rsidRDefault="00B016A1" w:rsidP="00B016A1">
            <w:pPr>
              <w:spacing w:line="240" w:lineRule="auto"/>
              <w:jc w:val="right"/>
              <w:rPr>
                <w:rFonts w:ascii="Times New Roman" w:hAnsi="Times New Roman"/>
                <w:b/>
                <w:bCs/>
                <w:color w:val="000000"/>
                <w:szCs w:val="24"/>
              </w:rPr>
            </w:pPr>
            <w:r w:rsidRPr="00B016A1">
              <w:rPr>
                <w:rFonts w:ascii="Times New Roman" w:hAnsi="Times New Roman"/>
                <w:b/>
                <w:bCs/>
                <w:color w:val="000000"/>
                <w:szCs w:val="24"/>
              </w:rPr>
              <w:t>11 707 143 311</w:t>
            </w:r>
          </w:p>
        </w:tc>
      </w:tr>
    </w:tbl>
    <w:p w14:paraId="51347F75" w14:textId="77777777" w:rsidR="00CE5CF0" w:rsidRDefault="00CE5CF0" w:rsidP="005E5D9A">
      <w:pPr>
        <w:spacing w:line="240" w:lineRule="auto"/>
        <w:rPr>
          <w:rFonts w:ascii="Times New Roman" w:hAnsi="Times New Roman"/>
        </w:rPr>
      </w:pPr>
    </w:p>
    <w:p w14:paraId="51347F76" w14:textId="77777777" w:rsidR="00CE5CF0" w:rsidRPr="004B2545" w:rsidRDefault="00CE5CF0" w:rsidP="00CE5CF0">
      <w:pPr>
        <w:spacing w:after="200"/>
        <w:jc w:val="left"/>
        <w:rPr>
          <w:rFonts w:ascii="Times New Roman" w:hAnsi="Times New Roman"/>
          <w:color w:val="365F91" w:themeColor="accent1" w:themeShade="BF"/>
          <w:lang w:eastAsia="en-US"/>
        </w:rPr>
      </w:pPr>
      <w:r w:rsidRPr="004B2545">
        <w:rPr>
          <w:rFonts w:ascii="Times New Roman" w:hAnsi="Times New Roman"/>
          <w:color w:val="365F91" w:themeColor="accent1" w:themeShade="BF"/>
          <w:lang w:eastAsia="en-US"/>
        </w:rPr>
        <w:br w:type="page"/>
      </w:r>
    </w:p>
    <w:p w14:paraId="51347F77" w14:textId="77777777" w:rsidR="005E5D9A" w:rsidRPr="00E96118" w:rsidRDefault="005E5D9A" w:rsidP="005E5D9A">
      <w:pPr>
        <w:pStyle w:val="Nadpis1"/>
        <w:rPr>
          <w:rFonts w:ascii="Times New Roman" w:hAnsi="Times New Roman" w:cs="Times New Roman"/>
          <w:color w:val="auto"/>
        </w:rPr>
      </w:pPr>
      <w:bookmarkStart w:id="26" w:name="_Toc431911998"/>
      <w:r>
        <w:rPr>
          <w:rFonts w:ascii="Times New Roman" w:hAnsi="Times New Roman" w:cs="Times New Roman"/>
          <w:color w:val="auto"/>
        </w:rPr>
        <w:lastRenderedPageBreak/>
        <w:t>E</w:t>
      </w:r>
      <w:r w:rsidRPr="00E96118">
        <w:rPr>
          <w:rFonts w:ascii="Times New Roman" w:hAnsi="Times New Roman" w:cs="Times New Roman"/>
          <w:color w:val="auto"/>
        </w:rPr>
        <w:t>. VÝHLED PŘÍJMŮ A VÝDAJŮ NA ROKY 2017 - 2018</w:t>
      </w:r>
      <w:bookmarkEnd w:id="26"/>
    </w:p>
    <w:p w14:paraId="51347F78" w14:textId="77777777" w:rsidR="005E5D9A" w:rsidRDefault="005E5D9A" w:rsidP="005E5D9A">
      <w:pPr>
        <w:spacing w:line="240" w:lineRule="auto"/>
        <w:rPr>
          <w:rFonts w:ascii="Times New Roman" w:hAnsi="Times New Roman"/>
        </w:rPr>
      </w:pPr>
    </w:p>
    <w:p w14:paraId="51347F79" w14:textId="77777777" w:rsidR="005E5D9A" w:rsidRDefault="005E5D9A" w:rsidP="006837F1">
      <w:pPr>
        <w:spacing w:after="120" w:line="240" w:lineRule="auto"/>
        <w:rPr>
          <w:rFonts w:ascii="Times New Roman" w:hAnsi="Times New Roman"/>
        </w:rPr>
      </w:pPr>
      <w:r w:rsidRPr="00E96118">
        <w:rPr>
          <w:rFonts w:ascii="Times New Roman" w:hAnsi="Times New Roman"/>
        </w:rPr>
        <w:t>Usnesením vlády č. </w:t>
      </w:r>
      <w:r w:rsidR="00367756">
        <w:rPr>
          <w:rFonts w:ascii="Times New Roman" w:hAnsi="Times New Roman"/>
        </w:rPr>
        <w:t>7</w:t>
      </w:r>
      <w:r w:rsidR="004A2FC2">
        <w:rPr>
          <w:rFonts w:ascii="Times New Roman" w:hAnsi="Times New Roman"/>
        </w:rPr>
        <w:t>4</w:t>
      </w:r>
      <w:r w:rsidR="00367756">
        <w:rPr>
          <w:rFonts w:ascii="Times New Roman" w:hAnsi="Times New Roman"/>
        </w:rPr>
        <w:t>8</w:t>
      </w:r>
      <w:r w:rsidRPr="00E96118">
        <w:rPr>
          <w:rFonts w:ascii="Times New Roman" w:hAnsi="Times New Roman"/>
        </w:rPr>
        <w:t xml:space="preserve"> ze dne 2</w:t>
      </w:r>
      <w:r w:rsidR="00367756">
        <w:rPr>
          <w:rFonts w:ascii="Times New Roman" w:hAnsi="Times New Roman"/>
        </w:rPr>
        <w:t>3</w:t>
      </w:r>
      <w:r w:rsidRPr="00E96118">
        <w:rPr>
          <w:rFonts w:ascii="Times New Roman" w:hAnsi="Times New Roman"/>
        </w:rPr>
        <w:t xml:space="preserve">. </w:t>
      </w:r>
      <w:r w:rsidR="00367756">
        <w:rPr>
          <w:rFonts w:ascii="Times New Roman" w:hAnsi="Times New Roman"/>
        </w:rPr>
        <w:t xml:space="preserve">září </w:t>
      </w:r>
      <w:r w:rsidRPr="00E96118">
        <w:rPr>
          <w:rFonts w:ascii="Times New Roman" w:hAnsi="Times New Roman"/>
        </w:rPr>
        <w:t xml:space="preserve">2015 </w:t>
      </w:r>
      <w:r w:rsidR="00367756">
        <w:rPr>
          <w:rFonts w:ascii="Times New Roman" w:hAnsi="Times New Roman"/>
        </w:rPr>
        <w:t>k návrhu zákona o státním rozpočtu České republiky na rok 2016 a k návrhům střednědobého výhledu státního rozpočtu České republiky na léta 2017 a 2018 a střednědobých výdajových rámců na léta 2017 a 2018</w:t>
      </w:r>
      <w:r w:rsidR="00EB6A4B">
        <w:rPr>
          <w:rFonts w:ascii="Times New Roman" w:hAnsi="Times New Roman"/>
        </w:rPr>
        <w:t xml:space="preserve"> </w:t>
      </w:r>
      <w:r w:rsidRPr="00E96118">
        <w:rPr>
          <w:rFonts w:ascii="Times New Roman" w:hAnsi="Times New Roman"/>
        </w:rPr>
        <w:t>byly schváleny objemy příjmů a výdajů kapitoly 334 – Ministerstvo kultury na léta 2016 a střednědobý výhled na léta 2017 a 2018 v následující výši:</w:t>
      </w:r>
    </w:p>
    <w:tbl>
      <w:tblPr>
        <w:tblW w:w="8520" w:type="dxa"/>
        <w:jc w:val="center"/>
        <w:tblInd w:w="55" w:type="dxa"/>
        <w:tblCellMar>
          <w:left w:w="70" w:type="dxa"/>
          <w:right w:w="70" w:type="dxa"/>
        </w:tblCellMar>
        <w:tblLook w:val="04A0" w:firstRow="1" w:lastRow="0" w:firstColumn="1" w:lastColumn="0" w:noHBand="0" w:noVBand="1"/>
      </w:tblPr>
      <w:tblGrid>
        <w:gridCol w:w="1575"/>
        <w:gridCol w:w="2268"/>
        <w:gridCol w:w="2268"/>
        <w:gridCol w:w="2409"/>
      </w:tblGrid>
      <w:tr w:rsidR="00EB6A4B" w:rsidRPr="00EB6A4B" w14:paraId="51347F80" w14:textId="77777777" w:rsidTr="006837F1">
        <w:trPr>
          <w:trHeight w:val="600"/>
          <w:jc w:val="center"/>
        </w:trPr>
        <w:tc>
          <w:tcPr>
            <w:tcW w:w="1575"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51347F7A" w14:textId="77777777" w:rsidR="005E5D9A" w:rsidRPr="00EB6A4B" w:rsidRDefault="005E5D9A" w:rsidP="005E5D9A">
            <w:pPr>
              <w:spacing w:line="240" w:lineRule="auto"/>
              <w:jc w:val="left"/>
              <w:rPr>
                <w:rFonts w:ascii="Calibri" w:hAnsi="Calibri"/>
                <w:b/>
                <w:bCs/>
                <w:sz w:val="22"/>
                <w:szCs w:val="22"/>
              </w:rPr>
            </w:pPr>
            <w:r w:rsidRPr="00EB6A4B">
              <w:rPr>
                <w:rFonts w:ascii="Calibri" w:hAnsi="Calibri"/>
                <w:b/>
                <w:bCs/>
                <w:sz w:val="22"/>
                <w:szCs w:val="22"/>
              </w:rPr>
              <w:t> </w:t>
            </w:r>
          </w:p>
        </w:tc>
        <w:tc>
          <w:tcPr>
            <w:tcW w:w="2268" w:type="dxa"/>
            <w:tcBorders>
              <w:top w:val="single" w:sz="12" w:space="0" w:color="auto"/>
              <w:left w:val="nil"/>
              <w:bottom w:val="single" w:sz="12" w:space="0" w:color="auto"/>
              <w:right w:val="single" w:sz="8" w:space="0" w:color="auto"/>
            </w:tcBorders>
            <w:shd w:val="clear" w:color="auto" w:fill="auto"/>
            <w:vAlign w:val="center"/>
            <w:hideMark/>
          </w:tcPr>
          <w:p w14:paraId="51347F7B" w14:textId="77777777" w:rsidR="005E5D9A" w:rsidRPr="00EB6A4B" w:rsidRDefault="009B104E" w:rsidP="009B104E">
            <w:pPr>
              <w:spacing w:line="240" w:lineRule="auto"/>
              <w:jc w:val="center"/>
              <w:rPr>
                <w:rFonts w:ascii="Calibri" w:hAnsi="Calibri"/>
                <w:b/>
                <w:bCs/>
                <w:sz w:val="22"/>
                <w:szCs w:val="22"/>
              </w:rPr>
            </w:pPr>
            <w:r>
              <w:rPr>
                <w:rFonts w:ascii="Calibri" w:hAnsi="Calibri"/>
                <w:b/>
                <w:bCs/>
                <w:sz w:val="22"/>
                <w:szCs w:val="22"/>
              </w:rPr>
              <w:t xml:space="preserve">Schválený </w:t>
            </w:r>
            <w:r w:rsidR="005E5D9A" w:rsidRPr="00EB6A4B">
              <w:rPr>
                <w:rFonts w:ascii="Calibri" w:hAnsi="Calibri"/>
                <w:b/>
                <w:bCs/>
                <w:sz w:val="22"/>
                <w:szCs w:val="22"/>
              </w:rPr>
              <w:t>rozpoč</w:t>
            </w:r>
            <w:r>
              <w:rPr>
                <w:rFonts w:ascii="Calibri" w:hAnsi="Calibri"/>
                <w:b/>
                <w:bCs/>
                <w:sz w:val="22"/>
                <w:szCs w:val="22"/>
              </w:rPr>
              <w:t>e</w:t>
            </w:r>
            <w:r w:rsidR="005E5D9A" w:rsidRPr="00EB6A4B">
              <w:rPr>
                <w:rFonts w:ascii="Calibri" w:hAnsi="Calibri"/>
                <w:b/>
                <w:bCs/>
                <w:sz w:val="22"/>
                <w:szCs w:val="22"/>
              </w:rPr>
              <w:t>t 2016 bez EU</w:t>
            </w:r>
            <w:r w:rsidR="00EB6A4B" w:rsidRPr="00EB6A4B">
              <w:rPr>
                <w:rFonts w:ascii="Calibri" w:hAnsi="Calibri"/>
                <w:b/>
                <w:bCs/>
                <w:sz w:val="22"/>
                <w:szCs w:val="22"/>
              </w:rPr>
              <w:t>, FM *)</w:t>
            </w:r>
          </w:p>
        </w:tc>
        <w:tc>
          <w:tcPr>
            <w:tcW w:w="2268" w:type="dxa"/>
            <w:tcBorders>
              <w:top w:val="single" w:sz="12" w:space="0" w:color="auto"/>
              <w:left w:val="nil"/>
              <w:bottom w:val="single" w:sz="12" w:space="0" w:color="auto"/>
              <w:right w:val="single" w:sz="8" w:space="0" w:color="auto"/>
            </w:tcBorders>
            <w:shd w:val="clear" w:color="auto" w:fill="auto"/>
            <w:vAlign w:val="center"/>
            <w:hideMark/>
          </w:tcPr>
          <w:p w14:paraId="51347F7C" w14:textId="77777777" w:rsidR="005E5D9A" w:rsidRPr="00EB6A4B" w:rsidRDefault="005E5D9A" w:rsidP="005E5D9A">
            <w:pPr>
              <w:spacing w:line="240" w:lineRule="auto"/>
              <w:jc w:val="center"/>
              <w:rPr>
                <w:rFonts w:ascii="Calibri" w:hAnsi="Calibri"/>
                <w:b/>
                <w:bCs/>
                <w:sz w:val="22"/>
                <w:szCs w:val="22"/>
              </w:rPr>
            </w:pPr>
            <w:r w:rsidRPr="00EB6A4B">
              <w:rPr>
                <w:rFonts w:ascii="Calibri" w:hAnsi="Calibri"/>
                <w:b/>
                <w:bCs/>
                <w:sz w:val="22"/>
                <w:szCs w:val="22"/>
              </w:rPr>
              <w:t>Výhled 2017</w:t>
            </w:r>
          </w:p>
          <w:p w14:paraId="51347F7D" w14:textId="77777777" w:rsidR="005E5D9A" w:rsidRPr="00EB6A4B" w:rsidRDefault="00EB6A4B" w:rsidP="005E5D9A">
            <w:pPr>
              <w:spacing w:line="240" w:lineRule="auto"/>
              <w:jc w:val="center"/>
              <w:rPr>
                <w:rFonts w:ascii="Calibri" w:hAnsi="Calibri"/>
                <w:b/>
                <w:bCs/>
                <w:sz w:val="22"/>
                <w:szCs w:val="22"/>
              </w:rPr>
            </w:pPr>
            <w:r w:rsidRPr="00EB6A4B">
              <w:rPr>
                <w:rFonts w:ascii="Calibri" w:hAnsi="Calibri"/>
                <w:b/>
                <w:bCs/>
                <w:sz w:val="22"/>
                <w:szCs w:val="22"/>
              </w:rPr>
              <w:t>bez EU, FM *)</w:t>
            </w:r>
          </w:p>
        </w:tc>
        <w:tc>
          <w:tcPr>
            <w:tcW w:w="2409" w:type="dxa"/>
            <w:tcBorders>
              <w:top w:val="single" w:sz="12" w:space="0" w:color="auto"/>
              <w:left w:val="nil"/>
              <w:bottom w:val="single" w:sz="12" w:space="0" w:color="auto"/>
              <w:right w:val="single" w:sz="12" w:space="0" w:color="auto"/>
            </w:tcBorders>
            <w:shd w:val="clear" w:color="auto" w:fill="auto"/>
            <w:vAlign w:val="center"/>
            <w:hideMark/>
          </w:tcPr>
          <w:p w14:paraId="51347F7E" w14:textId="77777777" w:rsidR="005E5D9A" w:rsidRPr="00EB6A4B" w:rsidRDefault="005E5D9A" w:rsidP="005E5D9A">
            <w:pPr>
              <w:spacing w:line="240" w:lineRule="auto"/>
              <w:jc w:val="center"/>
              <w:rPr>
                <w:rFonts w:ascii="Calibri" w:hAnsi="Calibri"/>
                <w:b/>
                <w:bCs/>
                <w:sz w:val="22"/>
                <w:szCs w:val="22"/>
              </w:rPr>
            </w:pPr>
            <w:r w:rsidRPr="00EB6A4B">
              <w:rPr>
                <w:rFonts w:ascii="Calibri" w:hAnsi="Calibri"/>
                <w:b/>
                <w:bCs/>
                <w:sz w:val="22"/>
                <w:szCs w:val="22"/>
              </w:rPr>
              <w:t>Výhled 2018</w:t>
            </w:r>
          </w:p>
          <w:p w14:paraId="51347F7F" w14:textId="77777777" w:rsidR="005E5D9A" w:rsidRPr="00EB6A4B" w:rsidRDefault="00EB6A4B" w:rsidP="005E5D9A">
            <w:pPr>
              <w:spacing w:line="240" w:lineRule="auto"/>
              <w:jc w:val="center"/>
              <w:rPr>
                <w:rFonts w:ascii="Calibri" w:hAnsi="Calibri"/>
                <w:b/>
                <w:bCs/>
                <w:sz w:val="22"/>
                <w:szCs w:val="22"/>
              </w:rPr>
            </w:pPr>
            <w:r w:rsidRPr="00EB6A4B">
              <w:rPr>
                <w:rFonts w:ascii="Calibri" w:hAnsi="Calibri"/>
                <w:b/>
                <w:bCs/>
                <w:sz w:val="22"/>
                <w:szCs w:val="22"/>
              </w:rPr>
              <w:t>bez EU, FM *)</w:t>
            </w:r>
          </w:p>
        </w:tc>
      </w:tr>
      <w:tr w:rsidR="00EB6A4B" w:rsidRPr="00EB6A4B" w14:paraId="51347F85" w14:textId="77777777" w:rsidTr="006837F1">
        <w:trPr>
          <w:trHeight w:val="312"/>
          <w:jc w:val="center"/>
        </w:trPr>
        <w:tc>
          <w:tcPr>
            <w:tcW w:w="1575" w:type="dxa"/>
            <w:tcBorders>
              <w:top w:val="nil"/>
              <w:left w:val="single" w:sz="12" w:space="0" w:color="auto"/>
              <w:bottom w:val="single" w:sz="8" w:space="0" w:color="auto"/>
              <w:right w:val="single" w:sz="8" w:space="0" w:color="auto"/>
            </w:tcBorders>
            <w:shd w:val="clear" w:color="auto" w:fill="auto"/>
            <w:noWrap/>
            <w:vAlign w:val="center"/>
            <w:hideMark/>
          </w:tcPr>
          <w:p w14:paraId="51347F81" w14:textId="77777777" w:rsidR="005E5D9A" w:rsidRPr="00EB6A4B" w:rsidRDefault="005E5D9A" w:rsidP="005E5D9A">
            <w:pPr>
              <w:spacing w:line="240" w:lineRule="auto"/>
              <w:rPr>
                <w:rFonts w:ascii="Calibri" w:hAnsi="Calibri"/>
                <w:sz w:val="22"/>
                <w:szCs w:val="22"/>
              </w:rPr>
            </w:pPr>
            <w:r w:rsidRPr="00EB6A4B">
              <w:rPr>
                <w:rFonts w:ascii="Calibri" w:hAnsi="Calibri"/>
                <w:sz w:val="22"/>
                <w:szCs w:val="22"/>
              </w:rPr>
              <w:t>Příjmy</w:t>
            </w:r>
          </w:p>
        </w:tc>
        <w:tc>
          <w:tcPr>
            <w:tcW w:w="2268" w:type="dxa"/>
            <w:tcBorders>
              <w:top w:val="nil"/>
              <w:left w:val="nil"/>
              <w:bottom w:val="single" w:sz="8" w:space="0" w:color="auto"/>
              <w:right w:val="single" w:sz="8" w:space="0" w:color="auto"/>
            </w:tcBorders>
            <w:shd w:val="clear" w:color="auto" w:fill="auto"/>
            <w:vAlign w:val="center"/>
            <w:hideMark/>
          </w:tcPr>
          <w:p w14:paraId="51347F82" w14:textId="77777777" w:rsidR="005E5D9A" w:rsidRPr="00EB6A4B" w:rsidRDefault="005E5D9A" w:rsidP="005E5D9A">
            <w:pPr>
              <w:spacing w:line="240" w:lineRule="auto"/>
              <w:jc w:val="right"/>
              <w:rPr>
                <w:rFonts w:ascii="Calibri" w:hAnsi="Calibri"/>
                <w:sz w:val="22"/>
                <w:szCs w:val="22"/>
              </w:rPr>
            </w:pPr>
            <w:r w:rsidRPr="00EB6A4B">
              <w:rPr>
                <w:rFonts w:ascii="Calibri" w:hAnsi="Calibri"/>
                <w:sz w:val="22"/>
                <w:szCs w:val="22"/>
              </w:rPr>
              <w:t>157 195 000</w:t>
            </w:r>
          </w:p>
        </w:tc>
        <w:tc>
          <w:tcPr>
            <w:tcW w:w="2268" w:type="dxa"/>
            <w:tcBorders>
              <w:top w:val="nil"/>
              <w:left w:val="nil"/>
              <w:bottom w:val="single" w:sz="8" w:space="0" w:color="auto"/>
              <w:right w:val="single" w:sz="8" w:space="0" w:color="auto"/>
            </w:tcBorders>
            <w:shd w:val="clear" w:color="auto" w:fill="auto"/>
            <w:vAlign w:val="center"/>
            <w:hideMark/>
          </w:tcPr>
          <w:p w14:paraId="51347F83" w14:textId="77777777" w:rsidR="005E5D9A" w:rsidRPr="00EB6A4B" w:rsidRDefault="005E5D9A" w:rsidP="005E5D9A">
            <w:pPr>
              <w:spacing w:line="240" w:lineRule="auto"/>
              <w:jc w:val="right"/>
              <w:rPr>
                <w:rFonts w:ascii="Calibri" w:hAnsi="Calibri"/>
                <w:sz w:val="22"/>
                <w:szCs w:val="22"/>
              </w:rPr>
            </w:pPr>
            <w:r w:rsidRPr="00EB6A4B">
              <w:rPr>
                <w:rFonts w:ascii="Calibri" w:hAnsi="Calibri"/>
                <w:sz w:val="22"/>
                <w:szCs w:val="22"/>
              </w:rPr>
              <w:t>122 766 000</w:t>
            </w:r>
          </w:p>
        </w:tc>
        <w:tc>
          <w:tcPr>
            <w:tcW w:w="2409" w:type="dxa"/>
            <w:tcBorders>
              <w:top w:val="single" w:sz="12" w:space="0" w:color="auto"/>
              <w:left w:val="nil"/>
              <w:bottom w:val="single" w:sz="8" w:space="0" w:color="auto"/>
              <w:right w:val="single" w:sz="12" w:space="0" w:color="auto"/>
            </w:tcBorders>
            <w:shd w:val="clear" w:color="auto" w:fill="auto"/>
            <w:vAlign w:val="center"/>
            <w:hideMark/>
          </w:tcPr>
          <w:p w14:paraId="51347F84" w14:textId="77777777" w:rsidR="005E5D9A" w:rsidRPr="00EB6A4B" w:rsidRDefault="005E5D9A" w:rsidP="005E5D9A">
            <w:pPr>
              <w:spacing w:line="240" w:lineRule="auto"/>
              <w:jc w:val="right"/>
              <w:rPr>
                <w:rFonts w:ascii="Calibri" w:hAnsi="Calibri"/>
                <w:sz w:val="22"/>
                <w:szCs w:val="22"/>
              </w:rPr>
            </w:pPr>
            <w:r w:rsidRPr="00EB6A4B">
              <w:rPr>
                <w:rFonts w:ascii="Calibri" w:hAnsi="Calibri"/>
                <w:sz w:val="22"/>
                <w:szCs w:val="22"/>
              </w:rPr>
              <w:t>122 766 000</w:t>
            </w:r>
          </w:p>
        </w:tc>
      </w:tr>
      <w:tr w:rsidR="00EB6A4B" w:rsidRPr="00EB6A4B" w14:paraId="51347F8A" w14:textId="77777777" w:rsidTr="00EB6A4B">
        <w:trPr>
          <w:trHeight w:val="300"/>
          <w:jc w:val="center"/>
        </w:trPr>
        <w:tc>
          <w:tcPr>
            <w:tcW w:w="1575" w:type="dxa"/>
            <w:tcBorders>
              <w:top w:val="nil"/>
              <w:left w:val="single" w:sz="12" w:space="0" w:color="auto"/>
              <w:bottom w:val="single" w:sz="12" w:space="0" w:color="auto"/>
              <w:right w:val="single" w:sz="8" w:space="0" w:color="auto"/>
            </w:tcBorders>
            <w:shd w:val="clear" w:color="auto" w:fill="auto"/>
            <w:noWrap/>
            <w:vAlign w:val="center"/>
            <w:hideMark/>
          </w:tcPr>
          <w:p w14:paraId="51347F86" w14:textId="77777777" w:rsidR="005E5D9A" w:rsidRPr="00EB6A4B" w:rsidRDefault="005E5D9A" w:rsidP="005E5D9A">
            <w:pPr>
              <w:spacing w:line="240" w:lineRule="auto"/>
              <w:rPr>
                <w:rFonts w:ascii="Calibri" w:hAnsi="Calibri"/>
                <w:sz w:val="22"/>
                <w:szCs w:val="22"/>
              </w:rPr>
            </w:pPr>
            <w:r w:rsidRPr="00EB6A4B">
              <w:rPr>
                <w:rFonts w:ascii="Calibri" w:hAnsi="Calibri"/>
                <w:sz w:val="22"/>
                <w:szCs w:val="22"/>
              </w:rPr>
              <w:t>Výdaje</w:t>
            </w:r>
          </w:p>
        </w:tc>
        <w:tc>
          <w:tcPr>
            <w:tcW w:w="2268" w:type="dxa"/>
            <w:tcBorders>
              <w:top w:val="nil"/>
              <w:left w:val="nil"/>
              <w:bottom w:val="single" w:sz="12" w:space="0" w:color="auto"/>
              <w:right w:val="single" w:sz="8" w:space="0" w:color="auto"/>
            </w:tcBorders>
            <w:shd w:val="clear" w:color="auto" w:fill="auto"/>
            <w:vAlign w:val="center"/>
            <w:hideMark/>
          </w:tcPr>
          <w:p w14:paraId="51347F87" w14:textId="77777777" w:rsidR="005E5D9A" w:rsidRPr="00EB6A4B" w:rsidRDefault="005E5D9A" w:rsidP="005E5D9A">
            <w:pPr>
              <w:spacing w:line="240" w:lineRule="auto"/>
              <w:jc w:val="right"/>
              <w:rPr>
                <w:rFonts w:ascii="Calibri" w:hAnsi="Calibri"/>
                <w:sz w:val="22"/>
                <w:szCs w:val="22"/>
              </w:rPr>
            </w:pPr>
            <w:r w:rsidRPr="00EB6A4B">
              <w:rPr>
                <w:rFonts w:ascii="Calibri" w:hAnsi="Calibri"/>
                <w:sz w:val="22"/>
                <w:szCs w:val="22"/>
              </w:rPr>
              <w:t>11 707 143 311</w:t>
            </w:r>
          </w:p>
        </w:tc>
        <w:tc>
          <w:tcPr>
            <w:tcW w:w="2268" w:type="dxa"/>
            <w:tcBorders>
              <w:top w:val="nil"/>
              <w:left w:val="nil"/>
              <w:bottom w:val="single" w:sz="12" w:space="0" w:color="auto"/>
              <w:right w:val="single" w:sz="8" w:space="0" w:color="auto"/>
            </w:tcBorders>
            <w:shd w:val="clear" w:color="auto" w:fill="auto"/>
            <w:noWrap/>
            <w:vAlign w:val="center"/>
            <w:hideMark/>
          </w:tcPr>
          <w:p w14:paraId="51347F88" w14:textId="77777777" w:rsidR="005E5D9A" w:rsidRPr="00EB6A4B" w:rsidRDefault="005E5D9A" w:rsidP="005E5D9A">
            <w:pPr>
              <w:spacing w:line="240" w:lineRule="auto"/>
              <w:jc w:val="right"/>
              <w:rPr>
                <w:rFonts w:ascii="Calibri" w:hAnsi="Calibri"/>
                <w:sz w:val="22"/>
                <w:szCs w:val="22"/>
              </w:rPr>
            </w:pPr>
            <w:r w:rsidRPr="00EB6A4B">
              <w:rPr>
                <w:rFonts w:ascii="Calibri" w:hAnsi="Calibri"/>
                <w:sz w:val="22"/>
                <w:szCs w:val="22"/>
              </w:rPr>
              <w:t>11 630 729 104</w:t>
            </w:r>
          </w:p>
        </w:tc>
        <w:tc>
          <w:tcPr>
            <w:tcW w:w="2409" w:type="dxa"/>
            <w:tcBorders>
              <w:top w:val="nil"/>
              <w:left w:val="nil"/>
              <w:bottom w:val="single" w:sz="12" w:space="0" w:color="auto"/>
              <w:right w:val="single" w:sz="12" w:space="0" w:color="auto"/>
            </w:tcBorders>
            <w:shd w:val="clear" w:color="auto" w:fill="auto"/>
            <w:noWrap/>
            <w:vAlign w:val="center"/>
            <w:hideMark/>
          </w:tcPr>
          <w:p w14:paraId="51347F89" w14:textId="77777777" w:rsidR="005E5D9A" w:rsidRPr="00EB6A4B" w:rsidRDefault="005E5D9A" w:rsidP="005E5D9A">
            <w:pPr>
              <w:spacing w:line="240" w:lineRule="auto"/>
              <w:jc w:val="right"/>
              <w:rPr>
                <w:rFonts w:ascii="Calibri" w:hAnsi="Calibri"/>
                <w:sz w:val="22"/>
                <w:szCs w:val="22"/>
              </w:rPr>
            </w:pPr>
            <w:r w:rsidRPr="00EB6A4B">
              <w:rPr>
                <w:rFonts w:ascii="Calibri" w:hAnsi="Calibri"/>
                <w:sz w:val="22"/>
                <w:szCs w:val="22"/>
              </w:rPr>
              <w:t>10 600 481 729</w:t>
            </w:r>
          </w:p>
        </w:tc>
      </w:tr>
    </w:tbl>
    <w:p w14:paraId="51347F8B" w14:textId="77777777" w:rsidR="005E5D9A" w:rsidRPr="00EB6A4B" w:rsidRDefault="00EB6A4B" w:rsidP="00EB6A4B">
      <w:pPr>
        <w:spacing w:line="240" w:lineRule="auto"/>
        <w:ind w:firstLine="708"/>
        <w:rPr>
          <w:rFonts w:ascii="Times New Roman" w:hAnsi="Times New Roman"/>
        </w:rPr>
      </w:pPr>
      <w:r w:rsidRPr="00EB6A4B">
        <w:rPr>
          <w:rFonts w:ascii="Calibri" w:hAnsi="Calibri"/>
          <w:bCs/>
          <w:sz w:val="22"/>
          <w:szCs w:val="22"/>
        </w:rPr>
        <w:t>*) EU, FM = prostředky poskytované z Evropské unie a finančních mechanismů</w:t>
      </w:r>
    </w:p>
    <w:p w14:paraId="51347F8C" w14:textId="77777777" w:rsidR="005E5D9A" w:rsidRPr="00EB6A4B" w:rsidRDefault="005E5D9A" w:rsidP="005E5D9A">
      <w:pPr>
        <w:spacing w:before="120" w:line="240" w:lineRule="auto"/>
        <w:rPr>
          <w:rFonts w:ascii="Times New Roman" w:hAnsi="Times New Roman"/>
          <w:szCs w:val="24"/>
        </w:rPr>
      </w:pPr>
      <w:r w:rsidRPr="00EB6A4B">
        <w:rPr>
          <w:rFonts w:ascii="Times New Roman" w:hAnsi="Times New Roman"/>
          <w:szCs w:val="24"/>
        </w:rPr>
        <w:t xml:space="preserve">Plánované příjmy ve výhledu na roky 2017 a 2018 zahrnují stabilně 10 tis. Kč daňových příjmů a 122 756 tis. Kč nedaňových příjmů. Jejich součástí jsou odvody příspěvkových organizací (odvody z odpisů a odvody z prodeje státního nemovitého majetku), příjmy za pokuty, které se udělují podle zákona č. 122/2000 Sb. o ochraně sbírek muzejní povahy </w:t>
      </w:r>
      <w:r w:rsidRPr="00EB6A4B">
        <w:rPr>
          <w:rFonts w:ascii="Times New Roman" w:hAnsi="Times New Roman"/>
        </w:rPr>
        <w:br/>
      </w:r>
      <w:r w:rsidRPr="00EB6A4B">
        <w:rPr>
          <w:rFonts w:ascii="Times New Roman" w:hAnsi="Times New Roman"/>
          <w:szCs w:val="24"/>
        </w:rPr>
        <w:t xml:space="preserve">a zákona č. 71/1994 o prodeji a vývozu předmětů kulturní hodnoty. Dále jsou v kapitole rozpočtovány příjmy z úroků z prostředků na účtu cizích prostředků (depozitní účet) a týkající se účtů OSS k platebním kartám. Rozpis směrných čísel kapitoly týkajících se platů zaměstnanců a ostatních plateb za provedenou práci zaměstnanců úřadu (OSS) a mzdových nákladů příspěvkových organizací pro rok 2017 a 2018 je uveden ve Formuláři </w:t>
      </w:r>
      <w:r w:rsidR="00EB6A4B" w:rsidRPr="00EB6A4B">
        <w:rPr>
          <w:rFonts w:ascii="Times New Roman" w:hAnsi="Times New Roman"/>
          <w:szCs w:val="24"/>
        </w:rPr>
        <w:t xml:space="preserve">č. </w:t>
      </w:r>
      <w:r w:rsidRPr="00EB6A4B">
        <w:rPr>
          <w:rFonts w:ascii="Times New Roman" w:hAnsi="Times New Roman"/>
          <w:szCs w:val="24"/>
        </w:rPr>
        <w:t>1/2 jako příloha tohoto komentáře.</w:t>
      </w:r>
    </w:p>
    <w:p w14:paraId="51347F8D" w14:textId="77777777" w:rsidR="005E5D9A" w:rsidRPr="00EB6A4B" w:rsidRDefault="005E5D9A" w:rsidP="005E5D9A">
      <w:pPr>
        <w:spacing w:before="120" w:line="240" w:lineRule="auto"/>
        <w:rPr>
          <w:rFonts w:ascii="Times New Roman" w:hAnsi="Times New Roman"/>
          <w:szCs w:val="24"/>
        </w:rPr>
      </w:pPr>
      <w:r w:rsidRPr="00EB6A4B">
        <w:rPr>
          <w:rFonts w:ascii="Times New Roman" w:hAnsi="Times New Roman"/>
          <w:szCs w:val="24"/>
        </w:rPr>
        <w:t xml:space="preserve">Při rozpisu výdajových limitů do specifických ukazatelů na roky 2017 a 2018 postupovalo ministerstvo obdobným způsobem, jako při rozpisu výdajů na rok 2016. Ministerstvo kultury vycházelo z potřeby nejprve zajistit povinné výdaje, tj. výdaje na osobní náklady příspěvkových organizací a úřadu, výdaje dle majetkového vyrovnání s církvemi </w:t>
      </w:r>
      <w:r w:rsidRPr="00EB6A4B">
        <w:rPr>
          <w:rFonts w:ascii="Times New Roman" w:hAnsi="Times New Roman"/>
        </w:rPr>
        <w:br/>
      </w:r>
      <w:r w:rsidRPr="00EB6A4B">
        <w:rPr>
          <w:rFonts w:ascii="Times New Roman" w:hAnsi="Times New Roman"/>
          <w:szCs w:val="24"/>
        </w:rPr>
        <w:t>a náboženskými společnostmi, výdaje na výzkum, vývoj a inovace (stanovené dle rozpisu výdajů), platby mezinárodním organizacím a dalším společnostem, věcné výdaje příspěvkových organizací a úřadu, výdaje vedené v informačním systému programového financování EDS/SMVS. Mezi tyto potřeby byly rozepsány prostředky tak, aby byl v příslušném roce dodržen celkový objem výdajů.</w:t>
      </w:r>
    </w:p>
    <w:p w14:paraId="51347F8E" w14:textId="77777777" w:rsidR="005E5D9A" w:rsidRPr="00EB6A4B" w:rsidRDefault="005E5D9A" w:rsidP="005E5D9A">
      <w:pPr>
        <w:spacing w:before="120" w:line="240" w:lineRule="auto"/>
      </w:pPr>
      <w:r w:rsidRPr="00EB6A4B">
        <w:rPr>
          <w:rFonts w:ascii="Times New Roman" w:hAnsi="Times New Roman"/>
          <w:szCs w:val="24"/>
        </w:rPr>
        <w:t xml:space="preserve">Rozpočet kapitoly bude i v letech 2017 a 2018 ovlivněn skutečností, že více než </w:t>
      </w:r>
      <w:r w:rsidR="00EB6A4B" w:rsidRPr="00EB6A4B">
        <w:rPr>
          <w:rFonts w:ascii="Times New Roman" w:hAnsi="Times New Roman"/>
          <w:szCs w:val="24"/>
        </w:rPr>
        <w:t>20</w:t>
      </w:r>
      <w:r w:rsidRPr="00EB6A4B">
        <w:rPr>
          <w:rFonts w:ascii="Times New Roman" w:hAnsi="Times New Roman"/>
          <w:szCs w:val="24"/>
        </w:rPr>
        <w:t xml:space="preserve">% jeho výdajů je </w:t>
      </w:r>
      <w:r w:rsidR="00EB6A4B" w:rsidRPr="00EB6A4B">
        <w:rPr>
          <w:rFonts w:ascii="Times New Roman" w:hAnsi="Times New Roman"/>
          <w:szCs w:val="24"/>
        </w:rPr>
        <w:t>povinných</w:t>
      </w:r>
      <w:r w:rsidRPr="00EB6A4B">
        <w:rPr>
          <w:rFonts w:ascii="Times New Roman" w:hAnsi="Times New Roman"/>
          <w:szCs w:val="24"/>
        </w:rPr>
        <w:t>. Ministerstvo kultury je dle zákona č. 428/2012 Sb., o majetkovém vyrovnání s církvemi a náboženskými společnostmi</w:t>
      </w:r>
      <w:r w:rsidR="00EB6A4B">
        <w:rPr>
          <w:rFonts w:ascii="Times New Roman" w:hAnsi="Times New Roman"/>
          <w:szCs w:val="24"/>
        </w:rPr>
        <w:t>,</w:t>
      </w:r>
      <w:r w:rsidRPr="00EB6A4B">
        <w:rPr>
          <w:rFonts w:ascii="Times New Roman" w:hAnsi="Times New Roman"/>
          <w:szCs w:val="24"/>
        </w:rPr>
        <w:t xml:space="preserve"> vázáno povinností hradit závazky České republiky ze zdrojů plánovaných ve dvou závazných ukazatelích a to: „příspěvek na podporu činnosti dotčených církví a náboženských společností“ a „finanční náhrada“. Tato skutečnost znamená, že z celkového objemu výdajů kapitoly je na konkrétní zákonné výdaje vázána v roce 2017 částka 3 401 743,83 tis. Kč a v roce 2018 částka 3 371 535,51 tis. Kč (již bez</w:t>
      </w:r>
      <w:r w:rsidR="003F7402">
        <w:rPr>
          <w:rFonts w:ascii="Times New Roman" w:hAnsi="Times New Roman"/>
          <w:szCs w:val="24"/>
        </w:rPr>
        <w:t> </w:t>
      </w:r>
      <w:r w:rsidRPr="00EB6A4B">
        <w:rPr>
          <w:rFonts w:ascii="Times New Roman" w:hAnsi="Times New Roman"/>
          <w:szCs w:val="24"/>
        </w:rPr>
        <w:t>prostředků určených Bratrské jednotě baptistů, podrobněji viz komentář B. II. Výdaje dle</w:t>
      </w:r>
      <w:r w:rsidR="00EB6A4B">
        <w:rPr>
          <w:rFonts w:ascii="Times New Roman" w:hAnsi="Times New Roman"/>
          <w:szCs w:val="24"/>
        </w:rPr>
        <w:t> </w:t>
      </w:r>
      <w:r w:rsidRPr="00EB6A4B">
        <w:rPr>
          <w:rFonts w:ascii="Times New Roman" w:hAnsi="Times New Roman"/>
          <w:szCs w:val="24"/>
        </w:rPr>
        <w:t>zákona o majetkovém vyrovnání s církvemi a náboženskými společnostmi). „Výdaje na</w:t>
      </w:r>
      <w:r w:rsidR="00EB6A4B">
        <w:rPr>
          <w:rFonts w:ascii="Times New Roman" w:hAnsi="Times New Roman"/>
          <w:szCs w:val="24"/>
        </w:rPr>
        <w:t> </w:t>
      </w:r>
      <w:r w:rsidRPr="00EB6A4B">
        <w:rPr>
          <w:rFonts w:ascii="Times New Roman" w:hAnsi="Times New Roman"/>
          <w:szCs w:val="24"/>
        </w:rPr>
        <w:t xml:space="preserve">výzkum, vývoj a inovace“ jsou pro roky 2017 i 2018 stanoveny v objemu 512 223 tis. Kč, tedy v objemu stejném jako v roce 2016. Na ostatní výdaje tak zůstává kapitole k využití částka </w:t>
      </w:r>
      <w:r w:rsidR="003F7402">
        <w:rPr>
          <w:rFonts w:ascii="Times New Roman" w:hAnsi="Times New Roman"/>
          <w:szCs w:val="24"/>
        </w:rPr>
        <w:t>8</w:t>
      </w:r>
      <w:r w:rsidRPr="00EB6A4B">
        <w:rPr>
          <w:rFonts w:ascii="Times New Roman" w:hAnsi="Times New Roman"/>
          <w:szCs w:val="24"/>
        </w:rPr>
        <w:t> </w:t>
      </w:r>
      <w:r w:rsidR="003F7402">
        <w:rPr>
          <w:rFonts w:ascii="Times New Roman" w:hAnsi="Times New Roman"/>
          <w:szCs w:val="24"/>
        </w:rPr>
        <w:t>228</w:t>
      </w:r>
      <w:r w:rsidRPr="00EB6A4B">
        <w:rPr>
          <w:rFonts w:ascii="Times New Roman" w:hAnsi="Times New Roman"/>
          <w:szCs w:val="24"/>
        </w:rPr>
        <w:t> </w:t>
      </w:r>
      <w:r w:rsidR="003F7402">
        <w:rPr>
          <w:rFonts w:ascii="Times New Roman" w:hAnsi="Times New Roman"/>
          <w:szCs w:val="24"/>
        </w:rPr>
        <w:t>985</w:t>
      </w:r>
      <w:r w:rsidRPr="00EB6A4B">
        <w:rPr>
          <w:rFonts w:ascii="Times New Roman" w:hAnsi="Times New Roman"/>
          <w:szCs w:val="24"/>
        </w:rPr>
        <w:t>,27 tis. Kč pro rok 2017, což je o 45 381,78 tis. Kč méně než v</w:t>
      </w:r>
      <w:r w:rsidR="006265C8">
        <w:rPr>
          <w:rFonts w:ascii="Times New Roman" w:hAnsi="Times New Roman"/>
          <w:szCs w:val="24"/>
        </w:rPr>
        <w:t xml:space="preserve"> rozpočtu </w:t>
      </w:r>
      <w:r w:rsidRPr="00EB6A4B">
        <w:rPr>
          <w:rFonts w:ascii="Times New Roman" w:hAnsi="Times New Roman"/>
          <w:szCs w:val="24"/>
        </w:rPr>
        <w:t xml:space="preserve">2016. Pro rok 2018 je určeno k rozdělení na kapitole jen </w:t>
      </w:r>
      <w:r w:rsidR="003F7402">
        <w:rPr>
          <w:rFonts w:ascii="Times New Roman" w:hAnsi="Times New Roman"/>
          <w:szCs w:val="24"/>
        </w:rPr>
        <w:t>7</w:t>
      </w:r>
      <w:r w:rsidRPr="00EB6A4B">
        <w:rPr>
          <w:rFonts w:ascii="Times New Roman" w:hAnsi="Times New Roman"/>
          <w:szCs w:val="24"/>
        </w:rPr>
        <w:t> </w:t>
      </w:r>
      <w:r w:rsidR="003F7402">
        <w:rPr>
          <w:rFonts w:ascii="Times New Roman" w:hAnsi="Times New Roman"/>
          <w:szCs w:val="24"/>
        </w:rPr>
        <w:t>228</w:t>
      </w:r>
      <w:r w:rsidRPr="00EB6A4B">
        <w:rPr>
          <w:rFonts w:ascii="Times New Roman" w:hAnsi="Times New Roman"/>
          <w:szCs w:val="24"/>
        </w:rPr>
        <w:t> </w:t>
      </w:r>
      <w:r w:rsidR="003F7402">
        <w:rPr>
          <w:rFonts w:ascii="Times New Roman" w:hAnsi="Times New Roman"/>
          <w:szCs w:val="24"/>
        </w:rPr>
        <w:t>946</w:t>
      </w:r>
      <w:r w:rsidRPr="00EB6A4B">
        <w:rPr>
          <w:rFonts w:ascii="Times New Roman" w:hAnsi="Times New Roman"/>
          <w:szCs w:val="24"/>
        </w:rPr>
        <w:t>,22 tis. Kč, což je o</w:t>
      </w:r>
      <w:r w:rsidR="006265C8">
        <w:rPr>
          <w:rFonts w:ascii="Times New Roman" w:hAnsi="Times New Roman"/>
          <w:szCs w:val="24"/>
        </w:rPr>
        <w:t> </w:t>
      </w:r>
      <w:r w:rsidRPr="00EB6A4B">
        <w:rPr>
          <w:rFonts w:ascii="Times New Roman" w:hAnsi="Times New Roman"/>
          <w:szCs w:val="24"/>
        </w:rPr>
        <w:t>1 045 420,83 tis. Kč méně než v</w:t>
      </w:r>
      <w:r w:rsidR="004A2FC2">
        <w:rPr>
          <w:rFonts w:ascii="Times New Roman" w:hAnsi="Times New Roman"/>
          <w:szCs w:val="24"/>
        </w:rPr>
        <w:t xml:space="preserve"> rozpočtu </w:t>
      </w:r>
      <w:r w:rsidRPr="00EB6A4B">
        <w:rPr>
          <w:rFonts w:ascii="Times New Roman" w:hAnsi="Times New Roman"/>
          <w:szCs w:val="24"/>
        </w:rPr>
        <w:t xml:space="preserve">2016. </w:t>
      </w:r>
    </w:p>
    <w:p w14:paraId="51347F8F" w14:textId="77777777" w:rsidR="005E5D9A" w:rsidRPr="003F7402" w:rsidRDefault="005E5D9A" w:rsidP="005E5D9A">
      <w:pPr>
        <w:spacing w:before="120" w:line="240" w:lineRule="auto"/>
        <w:rPr>
          <w:rFonts w:ascii="Times New Roman" w:hAnsi="Times New Roman"/>
          <w:szCs w:val="24"/>
        </w:rPr>
      </w:pPr>
      <w:r w:rsidRPr="003F7402">
        <w:rPr>
          <w:rFonts w:ascii="Times New Roman" w:hAnsi="Times New Roman"/>
          <w:szCs w:val="24"/>
        </w:rPr>
        <w:lastRenderedPageBreak/>
        <w:t xml:space="preserve">„Výdaje na zabezpečení plnění úkolů Ministerstva kultury“ jsou na rok 2017 plánovány ve výši 290 897,46 tis. Kč a na rok 2018 ve výši 291 008,41 tis. Kč. Oproti </w:t>
      </w:r>
      <w:r w:rsidR="004A2FC2">
        <w:rPr>
          <w:rFonts w:ascii="Times New Roman" w:hAnsi="Times New Roman"/>
          <w:szCs w:val="24"/>
        </w:rPr>
        <w:t xml:space="preserve">rozpočtu </w:t>
      </w:r>
      <w:r w:rsidRPr="003F7402">
        <w:rPr>
          <w:rFonts w:ascii="Times New Roman" w:hAnsi="Times New Roman"/>
          <w:szCs w:val="24"/>
        </w:rPr>
        <w:t>2016 to v roce 2017</w:t>
      </w:r>
      <w:r w:rsidR="003F7402">
        <w:rPr>
          <w:rFonts w:ascii="Times New Roman" w:hAnsi="Times New Roman"/>
          <w:szCs w:val="24"/>
        </w:rPr>
        <w:t xml:space="preserve"> </w:t>
      </w:r>
      <w:r w:rsidRPr="003F7402">
        <w:rPr>
          <w:rFonts w:ascii="Times New Roman" w:hAnsi="Times New Roman"/>
          <w:szCs w:val="24"/>
        </w:rPr>
        <w:t xml:space="preserve">představuje snížení o cca 33 218,41 tis. Kč a v roce 2018 </w:t>
      </w:r>
      <w:r w:rsidR="003F7402">
        <w:rPr>
          <w:rFonts w:ascii="Times New Roman" w:hAnsi="Times New Roman"/>
          <w:szCs w:val="24"/>
        </w:rPr>
        <w:t xml:space="preserve">o </w:t>
      </w:r>
      <w:r w:rsidRPr="003F7402">
        <w:rPr>
          <w:rFonts w:ascii="Times New Roman" w:hAnsi="Times New Roman"/>
          <w:szCs w:val="24"/>
        </w:rPr>
        <w:t xml:space="preserve">33 107,45 tis. Kč. „Kulturní služby, podpora živého umění“ je na rok 2017 ve výši 555 817,78 tis. Kč a na rok 2018 ve výši 535 667,78 tis. Kč. Částka na rok 2017 představuje snížení o 132 625 tis. Kč (oproti </w:t>
      </w:r>
      <w:r w:rsidR="006265C8">
        <w:rPr>
          <w:rFonts w:ascii="Times New Roman" w:hAnsi="Times New Roman"/>
          <w:szCs w:val="24"/>
        </w:rPr>
        <w:t xml:space="preserve">rozpočtu </w:t>
      </w:r>
      <w:r w:rsidRPr="003F7402">
        <w:rPr>
          <w:rFonts w:ascii="Times New Roman" w:hAnsi="Times New Roman"/>
          <w:szCs w:val="24"/>
        </w:rPr>
        <w:t xml:space="preserve">2016). V roce 2018 se projevuje další snížení výdajů na kulturní služby o 152 775 tis. Kč (oproti </w:t>
      </w:r>
      <w:r w:rsidR="006265C8">
        <w:rPr>
          <w:rFonts w:ascii="Times New Roman" w:hAnsi="Times New Roman"/>
          <w:szCs w:val="24"/>
        </w:rPr>
        <w:t xml:space="preserve">rozpočtu </w:t>
      </w:r>
      <w:r w:rsidRPr="003F7402">
        <w:rPr>
          <w:rFonts w:ascii="Times New Roman" w:hAnsi="Times New Roman"/>
          <w:szCs w:val="24"/>
        </w:rPr>
        <w:t xml:space="preserve">2016). Prostředky v ukazateli „Záchrana a obnova kulturních památek, veřejné služby muzeí“ jsou na rok 2017 i na rok 2018 plánovány ve výši 721 915 tis. Kč, což je více o 10 915 tis. Kč (oproti </w:t>
      </w:r>
      <w:r w:rsidR="006265C8">
        <w:rPr>
          <w:rFonts w:ascii="Times New Roman" w:hAnsi="Times New Roman"/>
          <w:szCs w:val="24"/>
        </w:rPr>
        <w:t xml:space="preserve">rozpočtu </w:t>
      </w:r>
      <w:r w:rsidRPr="003F7402">
        <w:rPr>
          <w:rFonts w:ascii="Times New Roman" w:hAnsi="Times New Roman"/>
          <w:szCs w:val="24"/>
        </w:rPr>
        <w:t xml:space="preserve">2016). </w:t>
      </w:r>
    </w:p>
    <w:p w14:paraId="51347F90" w14:textId="77777777" w:rsidR="005E5D9A" w:rsidRPr="0035438E" w:rsidRDefault="005E5D9A" w:rsidP="005E5D9A">
      <w:pPr>
        <w:spacing w:before="120" w:line="240" w:lineRule="auto"/>
        <w:rPr>
          <w:rFonts w:ascii="Times New Roman" w:hAnsi="Times New Roman"/>
          <w:szCs w:val="24"/>
        </w:rPr>
      </w:pPr>
      <w:r w:rsidRPr="0035438E">
        <w:rPr>
          <w:rFonts w:ascii="Times New Roman" w:hAnsi="Times New Roman"/>
          <w:szCs w:val="24"/>
        </w:rPr>
        <w:t>Pro „Státní fond kinematografie“ je určeno 981 800 tis. Kč pro rok 2017 i 2018, tedy stejně jako v</w:t>
      </w:r>
      <w:r w:rsidR="004A2FC2">
        <w:rPr>
          <w:rFonts w:ascii="Times New Roman" w:hAnsi="Times New Roman"/>
          <w:szCs w:val="24"/>
        </w:rPr>
        <w:t xml:space="preserve"> rozpočtu </w:t>
      </w:r>
      <w:r w:rsidRPr="0035438E">
        <w:rPr>
          <w:rFonts w:ascii="Times New Roman" w:hAnsi="Times New Roman"/>
          <w:szCs w:val="24"/>
        </w:rPr>
        <w:t>2016. Z této částky činí dotace na filmové pobídky 800 000 tis. Kč. Stabilní částka pro roky 2016, 2017 i 2018 je rozpočtována v ukazateli „Podpora kultury národnostních menšin“ ve výši 33 000 tis.</w:t>
      </w:r>
      <w:r w:rsidR="0035438E" w:rsidRPr="0035438E">
        <w:rPr>
          <w:rFonts w:ascii="Times New Roman" w:hAnsi="Times New Roman"/>
          <w:szCs w:val="24"/>
        </w:rPr>
        <w:t xml:space="preserve"> </w:t>
      </w:r>
      <w:r w:rsidRPr="0035438E">
        <w:rPr>
          <w:rFonts w:ascii="Times New Roman" w:hAnsi="Times New Roman"/>
          <w:szCs w:val="24"/>
        </w:rPr>
        <w:t>Kč</w:t>
      </w:r>
      <w:r w:rsidR="0035438E" w:rsidRPr="0035438E">
        <w:rPr>
          <w:rFonts w:ascii="Times New Roman" w:hAnsi="Times New Roman"/>
          <w:szCs w:val="24"/>
        </w:rPr>
        <w:t>. V</w:t>
      </w:r>
      <w:r w:rsidRPr="0035438E">
        <w:rPr>
          <w:rFonts w:ascii="Times New Roman" w:hAnsi="Times New Roman"/>
          <w:szCs w:val="24"/>
        </w:rPr>
        <w:t xml:space="preserve"> ukazateli „Podpora rozvoje a obnovy materiálně technické základny regionálních kulturních zařízení“ </w:t>
      </w:r>
      <w:r w:rsidR="0035438E" w:rsidRPr="0035438E">
        <w:rPr>
          <w:rFonts w:ascii="Times New Roman" w:hAnsi="Times New Roman"/>
          <w:szCs w:val="24"/>
        </w:rPr>
        <w:t xml:space="preserve">je pro rok 2017 i 2018 zařazeno </w:t>
      </w:r>
      <w:r w:rsidRPr="0035438E">
        <w:rPr>
          <w:rFonts w:ascii="Times New Roman" w:hAnsi="Times New Roman"/>
          <w:szCs w:val="24"/>
        </w:rPr>
        <w:t>27 000 tis. Kč.</w:t>
      </w:r>
    </w:p>
    <w:p w14:paraId="51347F91" w14:textId="77777777" w:rsidR="005E5D9A" w:rsidRPr="0035438E" w:rsidRDefault="005E5D9A" w:rsidP="005E5D9A">
      <w:pPr>
        <w:spacing w:before="120" w:line="240" w:lineRule="auto"/>
        <w:rPr>
          <w:rFonts w:ascii="Times New Roman" w:hAnsi="Times New Roman"/>
          <w:szCs w:val="24"/>
        </w:rPr>
      </w:pPr>
      <w:r w:rsidRPr="0035438E">
        <w:rPr>
          <w:rFonts w:ascii="Times New Roman" w:hAnsi="Times New Roman"/>
          <w:szCs w:val="24"/>
        </w:rPr>
        <w:t>Na „Společné projekty spolufinancované z finančních mechanismů“ bude v roce 2017 určena částka 2 000 tis. Kč a v roce 2018 částka 12 500 tis. Kč. V</w:t>
      </w:r>
      <w:r w:rsidR="004A2FC2">
        <w:rPr>
          <w:rFonts w:ascii="Times New Roman" w:hAnsi="Times New Roman"/>
          <w:szCs w:val="24"/>
        </w:rPr>
        <w:t xml:space="preserve"> rozpočtu </w:t>
      </w:r>
      <w:r w:rsidRPr="0035438E">
        <w:rPr>
          <w:rFonts w:ascii="Times New Roman" w:hAnsi="Times New Roman"/>
          <w:szCs w:val="24"/>
        </w:rPr>
        <w:t xml:space="preserve">2016 nejsou v tomto ukazateli zařazeny žádné prostředky. Pro programové období 2014 - 2020 jsou prozatím zařazeny v ukazateli „Kulturní dědictví ve vlastnictví státu, podporované evropskými fondy“ prostředky ve výši 76 910 tis. Kč na rok 2017 a ve výši 76 410 tis. Kč na rok 2018. </w:t>
      </w:r>
    </w:p>
    <w:p w14:paraId="51347F92" w14:textId="77777777" w:rsidR="005E5D9A" w:rsidRPr="0035438E" w:rsidRDefault="005E5D9A" w:rsidP="005E5D9A">
      <w:pPr>
        <w:spacing w:before="120" w:line="240" w:lineRule="auto"/>
        <w:rPr>
          <w:rFonts w:ascii="Times New Roman" w:hAnsi="Times New Roman"/>
          <w:szCs w:val="24"/>
        </w:rPr>
      </w:pPr>
      <w:r w:rsidRPr="0035438E">
        <w:rPr>
          <w:rFonts w:ascii="Times New Roman" w:hAnsi="Times New Roman"/>
          <w:szCs w:val="24"/>
        </w:rPr>
        <w:t>„Příspěvek na provoz příspěvkovým organizacím“ je na rok 2017 i 2018 plánován 3 451 285,03 tis. Kč, což je snížení o 25 183,37 tis. Kč oproti </w:t>
      </w:r>
      <w:r w:rsidR="004A2FC2">
        <w:rPr>
          <w:rFonts w:ascii="Times New Roman" w:hAnsi="Times New Roman"/>
          <w:szCs w:val="24"/>
        </w:rPr>
        <w:t xml:space="preserve">rozpočtu </w:t>
      </w:r>
      <w:r w:rsidRPr="0035438E">
        <w:rPr>
          <w:rFonts w:ascii="Times New Roman" w:hAnsi="Times New Roman"/>
          <w:szCs w:val="24"/>
        </w:rPr>
        <w:t>2016. Rozpočtové možnosti neumožnily tento ukazatel navýšit, Ministerstvo kultury jej alespoň nechce meziročně snižovat. Ukazatel „Rozvoj a obnova materiálně technické základny státních kulturních zařízení“ je pro rok 2017 stanoven na částku 576 137 tis. Kč a v roce 2018 na</w:t>
      </w:r>
      <w:r w:rsidR="006265C8">
        <w:rPr>
          <w:rFonts w:ascii="Times New Roman" w:hAnsi="Times New Roman"/>
          <w:szCs w:val="24"/>
        </w:rPr>
        <w:t> </w:t>
      </w:r>
      <w:r w:rsidRPr="0035438E">
        <w:rPr>
          <w:rFonts w:ascii="Times New Roman" w:hAnsi="Times New Roman"/>
          <w:szCs w:val="24"/>
        </w:rPr>
        <w:t xml:space="preserve">částku 586 137 tis. Kč. Meziroční navýšení o 10 000 tis. Kč je určeno do podprogramu EHP/Norsko - Podpora záchrany, obnovy a revitalizace kulturních památek. Ve srovnání s rokem 2016 dochází u tohoto ukazatele k nárůstu o 106 000 tis. Kč, resp. o 116 000 tis. Kč. Důvodem je nutnost zrealizovat významné akce příspěvkových organizací (např. Národního technického muzea, Národního památkového ústavu, Valašského muzea v přírodě, Moravské galerie v Brně, Moravské zemské knihovny, Národního divadla, Slezského zemského muzea). </w:t>
      </w:r>
    </w:p>
    <w:p w14:paraId="51347F93" w14:textId="77777777" w:rsidR="005E5D9A" w:rsidRPr="00202815" w:rsidRDefault="005E5D9A" w:rsidP="005E5D9A">
      <w:pPr>
        <w:spacing w:before="120" w:line="240" w:lineRule="auto"/>
        <w:rPr>
          <w:rFonts w:ascii="Times New Roman" w:hAnsi="Times New Roman"/>
          <w:szCs w:val="24"/>
        </w:rPr>
      </w:pPr>
      <w:r w:rsidRPr="00636642">
        <w:rPr>
          <w:rFonts w:ascii="Times New Roman" w:hAnsi="Times New Roman"/>
          <w:szCs w:val="24"/>
        </w:rPr>
        <w:t xml:space="preserve">V roce 2016 a 2017 byl rozpočet MK navýšen o 1 000 000 tis. Kč na „Program péče </w:t>
      </w:r>
      <w:r w:rsidRPr="00636642">
        <w:rPr>
          <w:rFonts w:ascii="Times New Roman" w:hAnsi="Times New Roman"/>
        </w:rPr>
        <w:br/>
      </w:r>
      <w:r w:rsidRPr="00636642">
        <w:rPr>
          <w:rFonts w:ascii="Times New Roman" w:hAnsi="Times New Roman"/>
          <w:szCs w:val="24"/>
        </w:rPr>
        <w:t>o národní kulturní poklad“ a v této výši je v roce</w:t>
      </w:r>
      <w:r w:rsidR="004A2FC2">
        <w:rPr>
          <w:rFonts w:ascii="Times New Roman" w:hAnsi="Times New Roman"/>
          <w:szCs w:val="24"/>
        </w:rPr>
        <w:t xml:space="preserve"> 2017 rozpočtován stejně jako ve schváleném rozpočtu </w:t>
      </w:r>
      <w:r w:rsidRPr="00636642">
        <w:rPr>
          <w:rFonts w:ascii="Times New Roman" w:hAnsi="Times New Roman"/>
          <w:szCs w:val="24"/>
        </w:rPr>
        <w:t xml:space="preserve">2016. </w:t>
      </w:r>
      <w:r w:rsidRPr="00202815">
        <w:rPr>
          <w:rFonts w:ascii="Times New Roman" w:hAnsi="Times New Roman"/>
          <w:szCs w:val="24"/>
        </w:rPr>
        <w:t>V roce 2018 však dojde k velkému propadu, prozatím zde nejsou zařazeny žádné prostředky. Přestože existují oprávněné požadavky i na rok 2018, snížení celkového objemu výdajů pro kapitolu Ministerstvo kultury o cca 1 mld. Kč se projevilo v tomto programu. Nad</w:t>
      </w:r>
      <w:r w:rsidR="00636642" w:rsidRPr="00202815">
        <w:rPr>
          <w:rFonts w:ascii="Times New Roman" w:hAnsi="Times New Roman"/>
          <w:szCs w:val="24"/>
        </w:rPr>
        <w:t> </w:t>
      </w:r>
      <w:r w:rsidRPr="00202815">
        <w:rPr>
          <w:rFonts w:ascii="Times New Roman" w:hAnsi="Times New Roman"/>
          <w:szCs w:val="24"/>
        </w:rPr>
        <w:t>schválený objem výdajů je pro Program péče o národní kulturní poklad potřeba navýšení</w:t>
      </w:r>
      <w:r w:rsidR="00636642" w:rsidRPr="00202815">
        <w:rPr>
          <w:rFonts w:ascii="Times New Roman" w:hAnsi="Times New Roman"/>
          <w:szCs w:val="24"/>
        </w:rPr>
        <w:t xml:space="preserve"> </w:t>
      </w:r>
      <w:r w:rsidRPr="00202815">
        <w:rPr>
          <w:rFonts w:ascii="Times New Roman" w:hAnsi="Times New Roman"/>
          <w:szCs w:val="24"/>
        </w:rPr>
        <w:t>o</w:t>
      </w:r>
      <w:r w:rsidR="00636642" w:rsidRPr="00202815">
        <w:rPr>
          <w:rFonts w:ascii="Times New Roman" w:hAnsi="Times New Roman"/>
          <w:szCs w:val="24"/>
        </w:rPr>
        <w:t> </w:t>
      </w:r>
      <w:r w:rsidRPr="00202815">
        <w:rPr>
          <w:rFonts w:ascii="Times New Roman" w:hAnsi="Times New Roman"/>
          <w:szCs w:val="24"/>
        </w:rPr>
        <w:t>2 300 000 tis. Kč (akce rekonstrukce a revitalizace Klementina a výstavba nového depozitáře Národní knihovny ve výši 1 700 000 tis. Kč, pro expozice v historické a nové budově Národního muzea ve výši 300 000 tis. Kč a pro dokončení sídla Národního filmového archivu ve výši 300 000 tis. Kč).</w:t>
      </w:r>
    </w:p>
    <w:p w14:paraId="51347F94" w14:textId="77777777" w:rsidR="005E5D9A" w:rsidRPr="00202815" w:rsidRDefault="005E5D9A" w:rsidP="005E5D9A">
      <w:pPr>
        <w:spacing w:before="120" w:line="240" w:lineRule="auto"/>
        <w:rPr>
          <w:rFonts w:ascii="Times New Roman" w:hAnsi="Times New Roman"/>
          <w:szCs w:val="24"/>
        </w:rPr>
      </w:pPr>
      <w:r w:rsidRPr="00202815">
        <w:rPr>
          <w:rFonts w:ascii="Times New Roman" w:hAnsi="Times New Roman"/>
          <w:szCs w:val="24"/>
        </w:rPr>
        <w:t xml:space="preserve">Velmi nízký objem výdajů na roky 2017 a 2018 neumožnil rozepsat výdaje ministerstva způsobem, který by byl odpovídající povinnostem a rozsahu činností, které ministerstvu přísluší podle právních předpisů, věcné působnosti a zachování řádné péče o svěřený majetek státu. Tato skutečnost se kromě již zmíněných investičních akcí negativně promítá v objemu </w:t>
      </w:r>
      <w:r w:rsidRPr="00202815">
        <w:rPr>
          <w:rFonts w:ascii="Times New Roman" w:hAnsi="Times New Roman"/>
          <w:szCs w:val="24"/>
        </w:rPr>
        <w:lastRenderedPageBreak/>
        <w:t>plánovaných výdajů na záchranu a obnovu kulturních památek, které jsou dlouhodobě podhodnocené.</w:t>
      </w:r>
    </w:p>
    <w:p w14:paraId="51347F95" w14:textId="77777777" w:rsidR="005E5D9A" w:rsidRPr="00202815" w:rsidRDefault="005E5D9A" w:rsidP="005E5D9A">
      <w:pPr>
        <w:spacing w:before="120" w:line="240" w:lineRule="auto"/>
        <w:rPr>
          <w:rFonts w:ascii="Times New Roman" w:hAnsi="Times New Roman"/>
          <w:szCs w:val="24"/>
        </w:rPr>
      </w:pPr>
      <w:r w:rsidRPr="00202815">
        <w:rPr>
          <w:rFonts w:ascii="Times New Roman" w:hAnsi="Times New Roman"/>
          <w:szCs w:val="24"/>
        </w:rPr>
        <w:t xml:space="preserve">Nedostatek prostředků také neumožňuje rozepsat výdaje v blocích „Kulturní služby, podpora živého umění“ a „Podpora kultury národnostních menšin“ ve výši, která by odpovídala oprávněným požadavkům kulturní obce a zástupců národnostních menšin. V kulturních aktivitách neprofesionálního umění tak z finančních důvodů nebude možno podpořit projekty, které by tomu kvalitou a významem odpovídaly. </w:t>
      </w:r>
    </w:p>
    <w:p w14:paraId="51347F96" w14:textId="77777777" w:rsidR="005E5D9A" w:rsidRPr="00202815" w:rsidRDefault="005E5D9A" w:rsidP="005E5D9A">
      <w:pPr>
        <w:spacing w:before="120" w:line="240" w:lineRule="auto"/>
        <w:rPr>
          <w:rFonts w:ascii="Times New Roman" w:hAnsi="Times New Roman"/>
          <w:szCs w:val="24"/>
        </w:rPr>
      </w:pPr>
      <w:r w:rsidRPr="00202815">
        <w:rPr>
          <w:rFonts w:ascii="Times New Roman" w:hAnsi="Times New Roman"/>
          <w:szCs w:val="24"/>
        </w:rPr>
        <w:t xml:space="preserve">Nadále rovněž není možné omezovat činnost a aktivity příspěvkových organizací, protože by tím jejich rozpočet přesáhl hranici, která by jim neumožnila plnit povinnosti při tvorbě </w:t>
      </w:r>
      <w:r w:rsidRPr="00202815">
        <w:rPr>
          <w:rFonts w:ascii="Times New Roman" w:hAnsi="Times New Roman"/>
        </w:rPr>
        <w:br/>
      </w:r>
      <w:r w:rsidRPr="00202815">
        <w:rPr>
          <w:rFonts w:ascii="Times New Roman" w:hAnsi="Times New Roman"/>
          <w:szCs w:val="24"/>
        </w:rPr>
        <w:t xml:space="preserve">a dostupnosti veřejné kulturní služby. Dlouhodobě přitom není zohledňován nárůst věcných </w:t>
      </w:r>
      <w:r w:rsidRPr="00202815">
        <w:rPr>
          <w:rFonts w:ascii="Times New Roman" w:hAnsi="Times New Roman"/>
        </w:rPr>
        <w:br/>
      </w:r>
      <w:r w:rsidRPr="00202815">
        <w:rPr>
          <w:rFonts w:ascii="Times New Roman" w:hAnsi="Times New Roman"/>
          <w:szCs w:val="24"/>
        </w:rPr>
        <w:t>a mzdových nákladů, ani požadavky na provoz nových kapacit či převzetí dalších potřebných objektů d</w:t>
      </w:r>
      <w:r w:rsidR="00636642" w:rsidRPr="00202815">
        <w:rPr>
          <w:rFonts w:ascii="Times New Roman" w:hAnsi="Times New Roman"/>
          <w:szCs w:val="24"/>
        </w:rPr>
        <w:t>o péče příspěvkových organizací.</w:t>
      </w:r>
      <w:r w:rsidRPr="00202815">
        <w:rPr>
          <w:rFonts w:ascii="Times New Roman" w:hAnsi="Times New Roman"/>
          <w:szCs w:val="24"/>
        </w:rPr>
        <w:t xml:space="preserve"> </w:t>
      </w:r>
    </w:p>
    <w:p w14:paraId="51347F97" w14:textId="77777777" w:rsidR="005E5D9A" w:rsidRPr="00202815" w:rsidRDefault="005E5D9A" w:rsidP="005E5D9A">
      <w:pPr>
        <w:spacing w:before="120" w:line="240" w:lineRule="auto"/>
        <w:rPr>
          <w:rFonts w:ascii="Times New Roman" w:hAnsi="Times New Roman"/>
          <w:szCs w:val="24"/>
        </w:rPr>
      </w:pPr>
      <w:r w:rsidRPr="00202815">
        <w:rPr>
          <w:rFonts w:ascii="Times New Roman" w:hAnsi="Times New Roman"/>
          <w:szCs w:val="24"/>
        </w:rPr>
        <w:t xml:space="preserve">Oproti stanoveným výdajovým rámcům se nedostává ve střednědobém výhledu prostředků v objemu cca </w:t>
      </w:r>
      <w:r w:rsidR="00636642" w:rsidRPr="00202815">
        <w:rPr>
          <w:rFonts w:ascii="Times New Roman" w:hAnsi="Times New Roman"/>
          <w:szCs w:val="24"/>
        </w:rPr>
        <w:t>3</w:t>
      </w:r>
      <w:r w:rsidRPr="00202815">
        <w:rPr>
          <w:rFonts w:ascii="Times New Roman" w:hAnsi="Times New Roman"/>
          <w:szCs w:val="24"/>
        </w:rPr>
        <w:t>,</w:t>
      </w:r>
      <w:r w:rsidR="0013643E">
        <w:rPr>
          <w:rFonts w:ascii="Times New Roman" w:hAnsi="Times New Roman"/>
          <w:szCs w:val="24"/>
        </w:rPr>
        <w:t>7</w:t>
      </w:r>
      <w:r w:rsidR="00636642" w:rsidRPr="00202815">
        <w:rPr>
          <w:rFonts w:ascii="Times New Roman" w:hAnsi="Times New Roman"/>
          <w:szCs w:val="24"/>
        </w:rPr>
        <w:t>69</w:t>
      </w:r>
      <w:r w:rsidRPr="00202815">
        <w:rPr>
          <w:rFonts w:ascii="Times New Roman" w:hAnsi="Times New Roman"/>
          <w:szCs w:val="24"/>
        </w:rPr>
        <w:t xml:space="preserve"> mld. Kč v roce 2017 a v roce 2018 cca </w:t>
      </w:r>
      <w:r w:rsidR="00636642" w:rsidRPr="00202815">
        <w:rPr>
          <w:rFonts w:ascii="Times New Roman" w:hAnsi="Times New Roman"/>
          <w:szCs w:val="24"/>
        </w:rPr>
        <w:t>4</w:t>
      </w:r>
      <w:r w:rsidRPr="00202815">
        <w:rPr>
          <w:rFonts w:ascii="Times New Roman" w:hAnsi="Times New Roman"/>
          <w:szCs w:val="24"/>
        </w:rPr>
        <w:t>,</w:t>
      </w:r>
      <w:r w:rsidR="00636642" w:rsidRPr="00202815">
        <w:rPr>
          <w:rFonts w:ascii="Times New Roman" w:hAnsi="Times New Roman"/>
          <w:szCs w:val="24"/>
        </w:rPr>
        <w:t>7</w:t>
      </w:r>
      <w:r w:rsidRPr="00202815">
        <w:rPr>
          <w:rFonts w:ascii="Times New Roman" w:hAnsi="Times New Roman"/>
          <w:szCs w:val="24"/>
        </w:rPr>
        <w:t>99 mld. Kč. Za cílový stav je považována částka 1% z celkového výdajového rámce stanoveného pro konkrétní rok (bez započítání výdajů dle zákona o majetkovém vyrovnání s církvemi a náboženským</w:t>
      </w:r>
      <w:r w:rsidR="00792BE1">
        <w:rPr>
          <w:rFonts w:ascii="Times New Roman" w:hAnsi="Times New Roman"/>
          <w:szCs w:val="24"/>
        </w:rPr>
        <w:t>i</w:t>
      </w:r>
      <w:r w:rsidRPr="00202815">
        <w:rPr>
          <w:rFonts w:ascii="Times New Roman" w:hAnsi="Times New Roman"/>
          <w:szCs w:val="24"/>
        </w:rPr>
        <w:t xml:space="preserve"> společnostmi, které nejsou předmětem kulturní služby).</w:t>
      </w:r>
    </w:p>
    <w:p w14:paraId="51347F98" w14:textId="77777777" w:rsidR="00A6331E" w:rsidRDefault="00A6331E" w:rsidP="00A6331E">
      <w:pPr>
        <w:spacing w:before="120" w:after="120" w:line="240" w:lineRule="auto"/>
        <w:rPr>
          <w:rFonts w:ascii="Times New Roman" w:hAnsi="Times New Roman"/>
          <w:szCs w:val="24"/>
        </w:rPr>
      </w:pPr>
      <w:r>
        <w:rPr>
          <w:rFonts w:ascii="Times New Roman" w:hAnsi="Times New Roman"/>
          <w:szCs w:val="24"/>
        </w:rPr>
        <w:t xml:space="preserve">Schválený </w:t>
      </w:r>
      <w:r w:rsidRPr="00957DB2">
        <w:rPr>
          <w:rFonts w:ascii="Times New Roman" w:hAnsi="Times New Roman"/>
          <w:szCs w:val="24"/>
        </w:rPr>
        <w:t>rozpoč</w:t>
      </w:r>
      <w:r>
        <w:rPr>
          <w:rFonts w:ascii="Times New Roman" w:hAnsi="Times New Roman"/>
          <w:szCs w:val="24"/>
        </w:rPr>
        <w:t>e</w:t>
      </w:r>
      <w:r w:rsidRPr="00957DB2">
        <w:rPr>
          <w:rFonts w:ascii="Times New Roman" w:hAnsi="Times New Roman"/>
          <w:szCs w:val="24"/>
        </w:rPr>
        <w:t xml:space="preserve">t příjmů a výdajů na rok 2016 a výhled na roky 2017 a 2018 je uveden </w:t>
      </w:r>
      <w:r w:rsidRPr="007314E4">
        <w:rPr>
          <w:rFonts w:ascii="Times New Roman" w:hAnsi="Times New Roman"/>
          <w:szCs w:val="24"/>
        </w:rPr>
        <w:t>v příloze č. </w:t>
      </w:r>
      <w:r>
        <w:rPr>
          <w:rFonts w:ascii="Times New Roman" w:hAnsi="Times New Roman"/>
          <w:szCs w:val="24"/>
        </w:rPr>
        <w:t>3</w:t>
      </w:r>
      <w:r w:rsidRPr="007314E4">
        <w:rPr>
          <w:rFonts w:ascii="Times New Roman" w:hAnsi="Times New Roman"/>
          <w:szCs w:val="24"/>
        </w:rPr>
        <w:t> Ukazatele kapitoly 334 Ministerstvo kultury Střednědobý výhled do roku 2018.</w:t>
      </w:r>
    </w:p>
    <w:p w14:paraId="51347F99" w14:textId="77777777" w:rsidR="00A6331E" w:rsidRDefault="00A6331E" w:rsidP="00A6331E">
      <w:pPr>
        <w:spacing w:before="120" w:after="120" w:line="240" w:lineRule="auto"/>
        <w:rPr>
          <w:rFonts w:ascii="Times New Roman" w:hAnsi="Times New Roman"/>
          <w:szCs w:val="24"/>
        </w:rPr>
      </w:pPr>
    </w:p>
    <w:p w14:paraId="51347F9A" w14:textId="77777777" w:rsidR="006837F1" w:rsidRDefault="00792BE1" w:rsidP="00A6331E">
      <w:pPr>
        <w:jc w:val="left"/>
        <w:rPr>
          <w:rFonts w:ascii="Times New Roman" w:hAnsi="Times New Roman"/>
          <w:strike/>
          <w:szCs w:val="24"/>
        </w:rPr>
      </w:pPr>
      <w:r w:rsidRPr="00792BE1">
        <w:rPr>
          <w:noProof/>
        </w:rPr>
        <w:drawing>
          <wp:inline distT="0" distB="0" distL="0" distR="0" wp14:anchorId="51347FC3" wp14:editId="51347FC4">
            <wp:extent cx="5762622" cy="14668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1466043"/>
                    </a:xfrm>
                    <a:prstGeom prst="rect">
                      <a:avLst/>
                    </a:prstGeom>
                    <a:noFill/>
                    <a:ln>
                      <a:noFill/>
                    </a:ln>
                  </pic:spPr>
                </pic:pic>
              </a:graphicData>
            </a:graphic>
          </wp:inline>
        </w:drawing>
      </w:r>
    </w:p>
    <w:p w14:paraId="51347F9B" w14:textId="77777777" w:rsidR="005B476C" w:rsidRDefault="00792BE1" w:rsidP="0016351C">
      <w:pPr>
        <w:spacing w:before="120" w:line="240" w:lineRule="auto"/>
        <w:rPr>
          <w:rFonts w:ascii="Times New Roman" w:hAnsi="Times New Roman"/>
          <w:color w:val="365F91" w:themeColor="accent1" w:themeShade="BF"/>
        </w:rPr>
      </w:pPr>
      <w:r w:rsidRPr="00792BE1">
        <w:rPr>
          <w:noProof/>
        </w:rPr>
        <w:drawing>
          <wp:inline distT="0" distB="0" distL="0" distR="0" wp14:anchorId="51347FC5" wp14:editId="51347FC6">
            <wp:extent cx="5750419" cy="1533525"/>
            <wp:effectExtent l="0" t="0" r="317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1535933"/>
                    </a:xfrm>
                    <a:prstGeom prst="rect">
                      <a:avLst/>
                    </a:prstGeom>
                    <a:noFill/>
                    <a:ln>
                      <a:noFill/>
                    </a:ln>
                  </pic:spPr>
                </pic:pic>
              </a:graphicData>
            </a:graphic>
          </wp:inline>
        </w:drawing>
      </w:r>
    </w:p>
    <w:p w14:paraId="51347F9C" w14:textId="77777777" w:rsidR="00A6331E" w:rsidRDefault="00A6331E" w:rsidP="0016351C">
      <w:pPr>
        <w:spacing w:before="120" w:line="240" w:lineRule="auto"/>
        <w:rPr>
          <w:rFonts w:ascii="Times New Roman" w:hAnsi="Times New Roman"/>
          <w:color w:val="365F91" w:themeColor="accent1" w:themeShade="BF"/>
        </w:rPr>
      </w:pPr>
    </w:p>
    <w:p w14:paraId="51347F9D" w14:textId="77777777" w:rsidR="005B476C" w:rsidRPr="00A6331E" w:rsidRDefault="00792BE1" w:rsidP="0016351C">
      <w:pPr>
        <w:spacing w:before="120" w:line="240" w:lineRule="auto"/>
        <w:rPr>
          <w:rFonts w:ascii="Times New Roman" w:hAnsi="Times New Roman"/>
          <w:szCs w:val="24"/>
        </w:rPr>
      </w:pPr>
      <w:r>
        <w:rPr>
          <w:rFonts w:ascii="Times New Roman" w:hAnsi="Times New Roman"/>
          <w:strike/>
          <w:noProof/>
          <w:szCs w:val="24"/>
        </w:rPr>
        <w:lastRenderedPageBreak/>
        <w:drawing>
          <wp:inline distT="0" distB="0" distL="0" distR="0" wp14:anchorId="51347FC7" wp14:editId="51347FC8">
            <wp:extent cx="5695950" cy="338137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95337" cy="3381011"/>
                    </a:xfrm>
                    <a:prstGeom prst="rect">
                      <a:avLst/>
                    </a:prstGeom>
                    <a:noFill/>
                  </pic:spPr>
                </pic:pic>
              </a:graphicData>
            </a:graphic>
          </wp:inline>
        </w:drawing>
      </w:r>
    </w:p>
    <w:p w14:paraId="51347F9E" w14:textId="77777777" w:rsidR="00195533" w:rsidRDefault="005E5D9A" w:rsidP="005E5D9A">
      <w:pPr>
        <w:spacing w:after="200"/>
        <w:jc w:val="left"/>
        <w:rPr>
          <w:rFonts w:ascii="Times New Roman" w:hAnsi="Times New Roman"/>
          <w:strike/>
          <w:szCs w:val="24"/>
        </w:rPr>
      </w:pPr>
      <w:r>
        <w:rPr>
          <w:rFonts w:ascii="Times New Roman" w:hAnsi="Times New Roman"/>
          <w:strike/>
          <w:szCs w:val="24"/>
        </w:rPr>
        <w:br w:type="page"/>
      </w:r>
    </w:p>
    <w:p w14:paraId="51347F9F" w14:textId="77777777" w:rsidR="00A6331E" w:rsidRDefault="00A6331E" w:rsidP="005E5D9A">
      <w:pPr>
        <w:spacing w:after="200"/>
        <w:jc w:val="left"/>
        <w:rPr>
          <w:rFonts w:ascii="Times New Roman" w:hAnsi="Times New Roman"/>
          <w:strike/>
          <w:szCs w:val="24"/>
        </w:rPr>
      </w:pPr>
    </w:p>
    <w:p w14:paraId="51347FA0" w14:textId="77777777" w:rsidR="00A6331E" w:rsidRDefault="00A6331E" w:rsidP="005E5D9A">
      <w:pPr>
        <w:spacing w:after="200"/>
        <w:jc w:val="left"/>
        <w:rPr>
          <w:rFonts w:ascii="Times New Roman" w:hAnsi="Times New Roman"/>
          <w:strike/>
          <w:szCs w:val="24"/>
        </w:rPr>
        <w:sectPr w:rsidR="00A6331E" w:rsidSect="002B6B50">
          <w:pgSz w:w="11906" w:h="16838" w:code="9"/>
          <w:pgMar w:top="1418" w:right="1418" w:bottom="1985" w:left="1418" w:header="709" w:footer="709" w:gutter="0"/>
          <w:cols w:space="708"/>
          <w:docGrid w:linePitch="360"/>
        </w:sectPr>
      </w:pPr>
    </w:p>
    <w:p w14:paraId="51347FA1" w14:textId="77777777" w:rsidR="00CE5CF0" w:rsidRDefault="00CE5CF0" w:rsidP="00CE5CF0">
      <w:pPr>
        <w:pStyle w:val="Nadpis1"/>
        <w:rPr>
          <w:rFonts w:ascii="Times New Roman" w:hAnsi="Times New Roman" w:cs="Times New Roman"/>
          <w:color w:val="auto"/>
        </w:rPr>
      </w:pPr>
      <w:bookmarkStart w:id="27" w:name="_Toc431911999"/>
      <w:r>
        <w:rPr>
          <w:rFonts w:ascii="Times New Roman" w:hAnsi="Times New Roman" w:cs="Times New Roman"/>
          <w:color w:val="auto"/>
        </w:rPr>
        <w:lastRenderedPageBreak/>
        <w:t>F</w:t>
      </w:r>
      <w:r w:rsidRPr="00E96118">
        <w:rPr>
          <w:rFonts w:ascii="Times New Roman" w:hAnsi="Times New Roman" w:cs="Times New Roman"/>
          <w:color w:val="auto"/>
        </w:rPr>
        <w:t xml:space="preserve">. </w:t>
      </w:r>
      <w:r>
        <w:rPr>
          <w:rFonts w:ascii="Times New Roman" w:hAnsi="Times New Roman" w:cs="Times New Roman"/>
          <w:color w:val="auto"/>
        </w:rPr>
        <w:t>PŘÍLOHOVÁ ČÁST – seznam</w:t>
      </w:r>
      <w:bookmarkEnd w:id="27"/>
      <w:r>
        <w:rPr>
          <w:rFonts w:ascii="Times New Roman" w:hAnsi="Times New Roman" w:cs="Times New Roman"/>
          <w:color w:val="auto"/>
        </w:rPr>
        <w:t xml:space="preserve"> </w:t>
      </w:r>
    </w:p>
    <w:p w14:paraId="51347FA2" w14:textId="77777777" w:rsidR="001F751F" w:rsidRPr="001F751F" w:rsidRDefault="001F751F" w:rsidP="001F751F">
      <w:pPr>
        <w:rPr>
          <w:lang w:eastAsia="en-US"/>
        </w:rPr>
      </w:pPr>
    </w:p>
    <w:p w14:paraId="51347FA3" w14:textId="77777777" w:rsidR="00F03D54" w:rsidRPr="00F03D54" w:rsidRDefault="00F03D54" w:rsidP="001F751F">
      <w:pPr>
        <w:spacing w:before="120"/>
        <w:ind w:left="1843" w:hanging="1843"/>
        <w:rPr>
          <w:rFonts w:ascii="Times New Roman" w:hAnsi="Times New Roman"/>
          <w:szCs w:val="24"/>
          <w:lang w:eastAsia="en-US"/>
        </w:rPr>
      </w:pPr>
      <w:r w:rsidRPr="00F03D54">
        <w:rPr>
          <w:rFonts w:ascii="Times New Roman" w:hAnsi="Times New Roman"/>
          <w:szCs w:val="24"/>
          <w:lang w:eastAsia="en-US"/>
        </w:rPr>
        <w:t>Příloha č. 1</w:t>
      </w:r>
      <w:r w:rsidRPr="00F03D54">
        <w:rPr>
          <w:rFonts w:ascii="Times New Roman" w:hAnsi="Times New Roman"/>
          <w:szCs w:val="24"/>
          <w:lang w:eastAsia="en-US"/>
        </w:rPr>
        <w:tab/>
        <w:t>GRAFY – Vývoj schváleného rozpočtu let 2010-201</w:t>
      </w:r>
      <w:r w:rsidR="00653321">
        <w:rPr>
          <w:rFonts w:ascii="Times New Roman" w:hAnsi="Times New Roman"/>
          <w:szCs w:val="24"/>
          <w:lang w:eastAsia="en-US"/>
        </w:rPr>
        <w:t>6</w:t>
      </w:r>
      <w:r w:rsidRPr="00F03D54">
        <w:rPr>
          <w:rFonts w:ascii="Times New Roman" w:hAnsi="Times New Roman"/>
          <w:szCs w:val="24"/>
          <w:lang w:eastAsia="en-US"/>
        </w:rPr>
        <w:t xml:space="preserve"> </w:t>
      </w:r>
    </w:p>
    <w:p w14:paraId="51347FA4" w14:textId="77777777" w:rsidR="00F03D54" w:rsidRPr="00F03D54" w:rsidRDefault="00F03D54" w:rsidP="001F751F">
      <w:pPr>
        <w:spacing w:before="120"/>
        <w:ind w:left="1843" w:hanging="1843"/>
        <w:rPr>
          <w:rFonts w:ascii="Times New Roman" w:hAnsi="Times New Roman"/>
          <w:szCs w:val="24"/>
          <w:lang w:eastAsia="en-US"/>
        </w:rPr>
      </w:pPr>
      <w:r w:rsidRPr="00F03D54">
        <w:rPr>
          <w:rFonts w:ascii="Times New Roman" w:hAnsi="Times New Roman"/>
          <w:szCs w:val="24"/>
          <w:lang w:eastAsia="en-US"/>
        </w:rPr>
        <w:t>Příloha č. 2</w:t>
      </w:r>
      <w:r w:rsidRPr="00F03D54">
        <w:rPr>
          <w:rFonts w:ascii="Times New Roman" w:hAnsi="Times New Roman"/>
          <w:szCs w:val="24"/>
          <w:lang w:eastAsia="en-US"/>
        </w:rPr>
        <w:tab/>
        <w:t xml:space="preserve">Ukazatele kapitoly 334 Ministerstvo kultury </w:t>
      </w:r>
      <w:r w:rsidR="00653321">
        <w:rPr>
          <w:rFonts w:ascii="Times New Roman" w:hAnsi="Times New Roman"/>
          <w:szCs w:val="24"/>
          <w:lang w:eastAsia="en-US"/>
        </w:rPr>
        <w:t>–</w:t>
      </w:r>
      <w:r w:rsidRPr="00F03D54">
        <w:rPr>
          <w:rFonts w:ascii="Times New Roman" w:hAnsi="Times New Roman"/>
          <w:szCs w:val="24"/>
          <w:lang w:eastAsia="en-US"/>
        </w:rPr>
        <w:t xml:space="preserve"> </w:t>
      </w:r>
      <w:r w:rsidR="00653321">
        <w:rPr>
          <w:rFonts w:ascii="Times New Roman" w:hAnsi="Times New Roman"/>
          <w:szCs w:val="24"/>
          <w:lang w:eastAsia="en-US"/>
        </w:rPr>
        <w:t xml:space="preserve">Schválený </w:t>
      </w:r>
      <w:r w:rsidRPr="00F03D54">
        <w:rPr>
          <w:rFonts w:ascii="Times New Roman" w:hAnsi="Times New Roman"/>
          <w:szCs w:val="24"/>
          <w:lang w:eastAsia="en-US"/>
        </w:rPr>
        <w:t>rozpoč</w:t>
      </w:r>
      <w:r w:rsidR="00653321">
        <w:rPr>
          <w:rFonts w:ascii="Times New Roman" w:hAnsi="Times New Roman"/>
          <w:szCs w:val="24"/>
          <w:lang w:eastAsia="en-US"/>
        </w:rPr>
        <w:t>e</w:t>
      </w:r>
      <w:r w:rsidRPr="00F03D54">
        <w:rPr>
          <w:rFonts w:ascii="Times New Roman" w:hAnsi="Times New Roman"/>
          <w:szCs w:val="24"/>
          <w:lang w:eastAsia="en-US"/>
        </w:rPr>
        <w:t>t na rok 2016</w:t>
      </w:r>
      <w:r w:rsidR="00653321">
        <w:rPr>
          <w:rFonts w:ascii="Times New Roman" w:hAnsi="Times New Roman"/>
          <w:szCs w:val="24"/>
          <w:lang w:eastAsia="en-US"/>
        </w:rPr>
        <w:t xml:space="preserve"> (specifické i průřezové ukazatele)</w:t>
      </w:r>
    </w:p>
    <w:p w14:paraId="51347FA5" w14:textId="77777777" w:rsidR="00653321" w:rsidRPr="00F03D54" w:rsidRDefault="00F03D54" w:rsidP="00653321">
      <w:pPr>
        <w:spacing w:before="120"/>
        <w:ind w:left="1843" w:hanging="1843"/>
        <w:rPr>
          <w:rFonts w:ascii="Times New Roman" w:hAnsi="Times New Roman"/>
          <w:szCs w:val="24"/>
          <w:lang w:eastAsia="en-US"/>
        </w:rPr>
      </w:pPr>
      <w:r w:rsidRPr="00F03D54">
        <w:rPr>
          <w:rFonts w:ascii="Times New Roman" w:hAnsi="Times New Roman"/>
          <w:szCs w:val="24"/>
          <w:lang w:eastAsia="en-US"/>
        </w:rPr>
        <w:t>Příloha č. 3</w:t>
      </w:r>
      <w:r w:rsidRPr="00F03D54">
        <w:rPr>
          <w:rFonts w:ascii="Times New Roman" w:hAnsi="Times New Roman"/>
          <w:szCs w:val="24"/>
          <w:lang w:eastAsia="en-US"/>
        </w:rPr>
        <w:tab/>
        <w:t>Ukazatele kapitoly 334 Ministerstvo kultury - Střednědobý výhled do</w:t>
      </w:r>
      <w:r w:rsidR="001F751F">
        <w:rPr>
          <w:rFonts w:ascii="Times New Roman" w:hAnsi="Times New Roman"/>
          <w:szCs w:val="24"/>
          <w:lang w:eastAsia="en-US"/>
        </w:rPr>
        <w:t> </w:t>
      </w:r>
      <w:r w:rsidRPr="00F03D54">
        <w:rPr>
          <w:rFonts w:ascii="Times New Roman" w:hAnsi="Times New Roman"/>
          <w:szCs w:val="24"/>
          <w:lang w:eastAsia="en-US"/>
        </w:rPr>
        <w:t>roku 2018</w:t>
      </w:r>
      <w:r w:rsidR="00653321">
        <w:rPr>
          <w:rFonts w:ascii="Times New Roman" w:hAnsi="Times New Roman"/>
          <w:szCs w:val="24"/>
          <w:lang w:eastAsia="en-US"/>
        </w:rPr>
        <w:t xml:space="preserve"> (specifické ukazatele)</w:t>
      </w:r>
    </w:p>
    <w:p w14:paraId="51347FA6" w14:textId="77777777" w:rsidR="00F03D54" w:rsidRPr="00F03D54" w:rsidRDefault="00F03D54" w:rsidP="001F751F">
      <w:pPr>
        <w:spacing w:before="120"/>
        <w:ind w:left="1843" w:hanging="1843"/>
        <w:rPr>
          <w:rFonts w:ascii="Times New Roman" w:hAnsi="Times New Roman"/>
          <w:szCs w:val="24"/>
          <w:lang w:eastAsia="en-US"/>
        </w:rPr>
      </w:pPr>
      <w:r w:rsidRPr="00F03D54">
        <w:rPr>
          <w:rFonts w:ascii="Times New Roman" w:hAnsi="Times New Roman"/>
          <w:szCs w:val="24"/>
          <w:lang w:eastAsia="en-US"/>
        </w:rPr>
        <w:t>Příloha č. 4</w:t>
      </w:r>
      <w:r w:rsidRPr="00F03D54">
        <w:rPr>
          <w:rFonts w:ascii="Times New Roman" w:hAnsi="Times New Roman"/>
          <w:szCs w:val="24"/>
          <w:lang w:eastAsia="en-US"/>
        </w:rPr>
        <w:tab/>
        <w:t>Seznam příspěvkových organizací</w:t>
      </w:r>
    </w:p>
    <w:p w14:paraId="51347FA7" w14:textId="77777777" w:rsidR="00F03D54" w:rsidRPr="00F03D54" w:rsidRDefault="00F03D54" w:rsidP="001F751F">
      <w:pPr>
        <w:spacing w:before="120"/>
        <w:ind w:left="1843" w:hanging="1843"/>
        <w:rPr>
          <w:rFonts w:ascii="Times New Roman" w:hAnsi="Times New Roman"/>
          <w:szCs w:val="24"/>
          <w:lang w:eastAsia="en-US"/>
        </w:rPr>
      </w:pPr>
      <w:r w:rsidRPr="00F03D54">
        <w:rPr>
          <w:rFonts w:ascii="Times New Roman" w:hAnsi="Times New Roman"/>
          <w:szCs w:val="24"/>
          <w:lang w:eastAsia="en-US"/>
        </w:rPr>
        <w:t>Příloha č. 5</w:t>
      </w:r>
      <w:r w:rsidRPr="00F03D54">
        <w:rPr>
          <w:rFonts w:ascii="Times New Roman" w:hAnsi="Times New Roman"/>
          <w:szCs w:val="24"/>
          <w:lang w:eastAsia="en-US"/>
        </w:rPr>
        <w:tab/>
        <w:t>Rozpis příjmů v druhovém třídění rozpočtové skladby za rok 2015</w:t>
      </w:r>
    </w:p>
    <w:p w14:paraId="51347FA8" w14:textId="77777777" w:rsidR="00F03D54" w:rsidRPr="00F03D54" w:rsidRDefault="00F03D54" w:rsidP="001F751F">
      <w:pPr>
        <w:spacing w:before="120"/>
        <w:ind w:left="1843" w:hanging="1843"/>
        <w:rPr>
          <w:rFonts w:ascii="Times New Roman" w:hAnsi="Times New Roman"/>
          <w:szCs w:val="24"/>
          <w:lang w:eastAsia="en-US"/>
        </w:rPr>
      </w:pPr>
      <w:r w:rsidRPr="00F03D54">
        <w:rPr>
          <w:rFonts w:ascii="Times New Roman" w:hAnsi="Times New Roman"/>
          <w:szCs w:val="24"/>
          <w:lang w:eastAsia="en-US"/>
        </w:rPr>
        <w:t>Příloha č. 6</w:t>
      </w:r>
      <w:r w:rsidRPr="00F03D54">
        <w:rPr>
          <w:rFonts w:ascii="Times New Roman" w:hAnsi="Times New Roman"/>
          <w:szCs w:val="24"/>
          <w:lang w:eastAsia="en-US"/>
        </w:rPr>
        <w:tab/>
        <w:t>Rozpis příjmů v druhovém třídění rozpočtové skladby na rok 2016</w:t>
      </w:r>
    </w:p>
    <w:p w14:paraId="51347FA9" w14:textId="77777777" w:rsidR="00F03D54" w:rsidRPr="00F03D54" w:rsidRDefault="00F03D54" w:rsidP="001F751F">
      <w:pPr>
        <w:spacing w:before="120"/>
        <w:ind w:left="1843" w:hanging="1843"/>
        <w:rPr>
          <w:rFonts w:ascii="Times New Roman" w:hAnsi="Times New Roman"/>
          <w:szCs w:val="24"/>
          <w:lang w:eastAsia="en-US"/>
        </w:rPr>
      </w:pPr>
      <w:r w:rsidRPr="00F03D54">
        <w:rPr>
          <w:rFonts w:ascii="Times New Roman" w:hAnsi="Times New Roman"/>
          <w:szCs w:val="24"/>
          <w:lang w:eastAsia="en-US"/>
        </w:rPr>
        <w:t>Příloha č. 7</w:t>
      </w:r>
      <w:r w:rsidRPr="00F03D54">
        <w:rPr>
          <w:rFonts w:ascii="Times New Roman" w:hAnsi="Times New Roman"/>
          <w:szCs w:val="24"/>
          <w:lang w:eastAsia="en-US"/>
        </w:rPr>
        <w:tab/>
        <w:t>Rozpis výdajů v druhovém a odvětvovém třídění rozpočtové skladby za</w:t>
      </w:r>
      <w:r w:rsidR="001F751F">
        <w:rPr>
          <w:rFonts w:ascii="Times New Roman" w:hAnsi="Times New Roman"/>
          <w:szCs w:val="24"/>
          <w:lang w:eastAsia="en-US"/>
        </w:rPr>
        <w:t> </w:t>
      </w:r>
      <w:r w:rsidRPr="00F03D54">
        <w:rPr>
          <w:rFonts w:ascii="Times New Roman" w:hAnsi="Times New Roman"/>
          <w:szCs w:val="24"/>
          <w:lang w:eastAsia="en-US"/>
        </w:rPr>
        <w:t xml:space="preserve">rok 2015 </w:t>
      </w:r>
    </w:p>
    <w:p w14:paraId="51347FAA" w14:textId="77777777" w:rsidR="00F03D54" w:rsidRPr="00F03D54" w:rsidRDefault="00F03D54" w:rsidP="001F751F">
      <w:pPr>
        <w:spacing w:before="120"/>
        <w:ind w:left="1843" w:hanging="1843"/>
        <w:rPr>
          <w:rFonts w:ascii="Times New Roman" w:hAnsi="Times New Roman"/>
          <w:szCs w:val="24"/>
          <w:lang w:eastAsia="en-US"/>
        </w:rPr>
      </w:pPr>
      <w:r w:rsidRPr="00F03D54">
        <w:rPr>
          <w:rFonts w:ascii="Times New Roman" w:hAnsi="Times New Roman"/>
          <w:szCs w:val="24"/>
          <w:lang w:eastAsia="en-US"/>
        </w:rPr>
        <w:t>Příloha č. 8</w:t>
      </w:r>
      <w:r w:rsidRPr="00F03D54">
        <w:rPr>
          <w:rFonts w:ascii="Times New Roman" w:hAnsi="Times New Roman"/>
          <w:szCs w:val="24"/>
          <w:lang w:eastAsia="en-US"/>
        </w:rPr>
        <w:tab/>
        <w:t xml:space="preserve">Rozpis výdajů v druhovém a odvětvovém třídění rozpočtové skladby </w:t>
      </w:r>
      <w:r w:rsidR="001F751F">
        <w:rPr>
          <w:rFonts w:ascii="Times New Roman" w:hAnsi="Times New Roman"/>
          <w:szCs w:val="24"/>
          <w:lang w:eastAsia="en-US"/>
        </w:rPr>
        <w:t>n</w:t>
      </w:r>
      <w:r w:rsidRPr="00F03D54">
        <w:rPr>
          <w:rFonts w:ascii="Times New Roman" w:hAnsi="Times New Roman"/>
          <w:szCs w:val="24"/>
          <w:lang w:eastAsia="en-US"/>
        </w:rPr>
        <w:t>a</w:t>
      </w:r>
      <w:r w:rsidR="001F751F">
        <w:rPr>
          <w:rFonts w:ascii="Times New Roman" w:hAnsi="Times New Roman"/>
          <w:szCs w:val="24"/>
          <w:lang w:eastAsia="en-US"/>
        </w:rPr>
        <w:t> </w:t>
      </w:r>
      <w:r w:rsidRPr="00F03D54">
        <w:rPr>
          <w:rFonts w:ascii="Times New Roman" w:hAnsi="Times New Roman"/>
          <w:szCs w:val="24"/>
          <w:lang w:eastAsia="en-US"/>
        </w:rPr>
        <w:t>rok 2016</w:t>
      </w:r>
    </w:p>
    <w:p w14:paraId="51347FAB" w14:textId="77777777" w:rsidR="00F03D54" w:rsidRPr="00F03D54" w:rsidRDefault="00F03D54" w:rsidP="001F751F">
      <w:pPr>
        <w:spacing w:before="120"/>
        <w:ind w:left="1843" w:hanging="1843"/>
        <w:rPr>
          <w:rFonts w:ascii="Times New Roman" w:hAnsi="Times New Roman"/>
          <w:szCs w:val="24"/>
          <w:lang w:eastAsia="en-US"/>
        </w:rPr>
      </w:pPr>
      <w:r w:rsidRPr="00F03D54">
        <w:rPr>
          <w:rFonts w:ascii="Times New Roman" w:hAnsi="Times New Roman"/>
          <w:szCs w:val="24"/>
          <w:lang w:eastAsia="en-US"/>
        </w:rPr>
        <w:t>Příloha č. 9</w:t>
      </w:r>
      <w:r w:rsidRPr="00F03D54">
        <w:rPr>
          <w:rFonts w:ascii="Times New Roman" w:hAnsi="Times New Roman"/>
          <w:szCs w:val="24"/>
          <w:lang w:eastAsia="en-US"/>
        </w:rPr>
        <w:tab/>
        <w:t>Výdaje na programy vedené v informačním systému programového financování EDS/SMVS (kniha bilance)</w:t>
      </w:r>
    </w:p>
    <w:p w14:paraId="51347FAC" w14:textId="77777777" w:rsidR="00F03D54" w:rsidRDefault="00F03D54" w:rsidP="001F751F">
      <w:pPr>
        <w:spacing w:before="120"/>
        <w:ind w:left="1843" w:hanging="1843"/>
        <w:rPr>
          <w:rFonts w:ascii="Times New Roman" w:hAnsi="Times New Roman"/>
          <w:szCs w:val="24"/>
          <w:lang w:eastAsia="en-US"/>
        </w:rPr>
      </w:pPr>
      <w:r w:rsidRPr="00F03D54">
        <w:rPr>
          <w:rFonts w:ascii="Times New Roman" w:hAnsi="Times New Roman"/>
          <w:szCs w:val="24"/>
          <w:lang w:eastAsia="en-US"/>
        </w:rPr>
        <w:t>Příloha č. 10</w:t>
      </w:r>
      <w:r w:rsidRPr="00F03D54">
        <w:rPr>
          <w:rFonts w:ascii="Times New Roman" w:hAnsi="Times New Roman"/>
          <w:szCs w:val="24"/>
          <w:lang w:eastAsia="en-US"/>
        </w:rPr>
        <w:tab/>
      </w:r>
      <w:r w:rsidR="00653321" w:rsidRPr="00F03D54">
        <w:rPr>
          <w:rFonts w:ascii="Times New Roman" w:hAnsi="Times New Roman"/>
          <w:szCs w:val="24"/>
          <w:lang w:eastAsia="en-US"/>
        </w:rPr>
        <w:t>Výdaje na programy vedené v informačním systému programového financování EDS/SMVS (</w:t>
      </w:r>
      <w:r w:rsidR="00653321">
        <w:rPr>
          <w:rFonts w:ascii="Times New Roman" w:hAnsi="Times New Roman"/>
          <w:szCs w:val="24"/>
          <w:lang w:eastAsia="en-US"/>
        </w:rPr>
        <w:t>návrh střednědobého výhledu</w:t>
      </w:r>
      <w:r w:rsidR="00653321" w:rsidRPr="00F03D54">
        <w:rPr>
          <w:rFonts w:ascii="Times New Roman" w:hAnsi="Times New Roman"/>
          <w:szCs w:val="24"/>
          <w:lang w:eastAsia="en-US"/>
        </w:rPr>
        <w:t>)</w:t>
      </w:r>
      <w:r w:rsidR="001F751F">
        <w:rPr>
          <w:rFonts w:ascii="Times New Roman" w:hAnsi="Times New Roman"/>
          <w:szCs w:val="24"/>
          <w:lang w:eastAsia="en-US"/>
        </w:rPr>
        <w:t xml:space="preserve"> </w:t>
      </w:r>
    </w:p>
    <w:p w14:paraId="51347FAD" w14:textId="77777777" w:rsidR="001F751F" w:rsidRPr="00F03D54" w:rsidRDefault="001F751F" w:rsidP="001F751F">
      <w:pPr>
        <w:spacing w:line="240" w:lineRule="auto"/>
        <w:ind w:left="1843" w:hanging="1843"/>
        <w:rPr>
          <w:rFonts w:ascii="Times New Roman" w:hAnsi="Times New Roman"/>
          <w:szCs w:val="24"/>
          <w:lang w:eastAsia="en-US"/>
        </w:rPr>
      </w:pPr>
    </w:p>
    <w:p w14:paraId="51347FAE" w14:textId="77777777" w:rsidR="00F03D54" w:rsidRPr="00F03D54" w:rsidRDefault="00F03D54" w:rsidP="001F751F">
      <w:pPr>
        <w:spacing w:before="120"/>
        <w:ind w:left="1843" w:hanging="1843"/>
        <w:rPr>
          <w:rFonts w:ascii="Times New Roman" w:hAnsi="Times New Roman"/>
          <w:szCs w:val="24"/>
          <w:lang w:eastAsia="en-US"/>
        </w:rPr>
      </w:pPr>
      <w:r w:rsidRPr="00F03D54">
        <w:rPr>
          <w:rFonts w:ascii="Times New Roman" w:hAnsi="Times New Roman"/>
          <w:szCs w:val="24"/>
          <w:lang w:eastAsia="en-US"/>
        </w:rPr>
        <w:t>Formulář č. 1/1</w:t>
      </w:r>
      <w:r w:rsidRPr="00F03D54">
        <w:rPr>
          <w:rFonts w:ascii="Times New Roman" w:hAnsi="Times New Roman"/>
          <w:szCs w:val="24"/>
          <w:lang w:eastAsia="en-US"/>
        </w:rPr>
        <w:tab/>
      </w:r>
      <w:r w:rsidR="00653321">
        <w:rPr>
          <w:rFonts w:ascii="Times New Roman" w:hAnsi="Times New Roman"/>
          <w:szCs w:val="24"/>
          <w:lang w:eastAsia="en-US"/>
        </w:rPr>
        <w:t xml:space="preserve">Schválený </w:t>
      </w:r>
      <w:r w:rsidRPr="00F03D54">
        <w:rPr>
          <w:rFonts w:ascii="Times New Roman" w:hAnsi="Times New Roman"/>
          <w:szCs w:val="24"/>
          <w:lang w:eastAsia="en-US"/>
        </w:rPr>
        <w:t>objem prostředků na platy zaměstnanců (mzdové náklady) a ostatní platby za provedenou práci (ostatní osobní náklady) a počty zaměstnanců na rok 2016</w:t>
      </w:r>
    </w:p>
    <w:p w14:paraId="51347FAF" w14:textId="77777777" w:rsidR="00F03D54" w:rsidRPr="00F03D54" w:rsidRDefault="00F03D54" w:rsidP="001F751F">
      <w:pPr>
        <w:spacing w:before="120"/>
        <w:ind w:left="1843" w:hanging="1843"/>
        <w:rPr>
          <w:rFonts w:ascii="Times New Roman" w:hAnsi="Times New Roman"/>
          <w:szCs w:val="24"/>
          <w:lang w:eastAsia="en-US"/>
        </w:rPr>
      </w:pPr>
      <w:r w:rsidRPr="00F03D54">
        <w:rPr>
          <w:rFonts w:ascii="Times New Roman" w:hAnsi="Times New Roman"/>
          <w:szCs w:val="24"/>
          <w:lang w:eastAsia="en-US"/>
        </w:rPr>
        <w:t>Formulář č. 1/2</w:t>
      </w:r>
      <w:r w:rsidRPr="00F03D54">
        <w:rPr>
          <w:rFonts w:ascii="Times New Roman" w:hAnsi="Times New Roman"/>
          <w:szCs w:val="24"/>
          <w:lang w:eastAsia="en-US"/>
        </w:rPr>
        <w:tab/>
        <w:t>Návrh objemu prostředků na platy zaměstnanců (mzdové náklady) a ostatní platby za provedenou práci (ostatní osobní náklady) a počty zaměstnanců na rok 2017 a 2018</w:t>
      </w:r>
    </w:p>
    <w:p w14:paraId="51347FB0" w14:textId="77777777" w:rsidR="00F03D54" w:rsidRPr="00F03D54" w:rsidRDefault="00F03D54" w:rsidP="001F751F">
      <w:pPr>
        <w:spacing w:before="120"/>
        <w:ind w:left="1843" w:hanging="1843"/>
        <w:rPr>
          <w:rFonts w:ascii="Times New Roman" w:hAnsi="Times New Roman"/>
          <w:szCs w:val="24"/>
          <w:lang w:eastAsia="en-US"/>
        </w:rPr>
      </w:pPr>
      <w:r w:rsidRPr="00F03D54">
        <w:rPr>
          <w:rFonts w:ascii="Times New Roman" w:hAnsi="Times New Roman"/>
          <w:szCs w:val="24"/>
          <w:lang w:eastAsia="en-US"/>
        </w:rPr>
        <w:t>Formulář č. 1/3</w:t>
      </w:r>
      <w:r w:rsidRPr="00F03D54">
        <w:rPr>
          <w:rFonts w:ascii="Times New Roman" w:hAnsi="Times New Roman"/>
          <w:szCs w:val="24"/>
          <w:lang w:eastAsia="en-US"/>
        </w:rPr>
        <w:tab/>
        <w:t>Výdaje převáděné z kapitoly Operace státních finančních aktiv na</w:t>
      </w:r>
      <w:r w:rsidR="001F751F">
        <w:rPr>
          <w:rFonts w:ascii="Times New Roman" w:hAnsi="Times New Roman"/>
          <w:szCs w:val="24"/>
          <w:lang w:eastAsia="en-US"/>
        </w:rPr>
        <w:t> </w:t>
      </w:r>
      <w:r w:rsidRPr="00F03D54">
        <w:rPr>
          <w:rFonts w:ascii="Times New Roman" w:hAnsi="Times New Roman"/>
          <w:szCs w:val="24"/>
          <w:lang w:eastAsia="en-US"/>
        </w:rPr>
        <w:t>financování potřeb kapitol státního rozpočtu na rok 2015 a 2016</w:t>
      </w:r>
    </w:p>
    <w:p w14:paraId="51347FB1" w14:textId="77777777" w:rsidR="00F03D54" w:rsidRPr="00F03D54" w:rsidRDefault="00F03D54" w:rsidP="001F751F">
      <w:pPr>
        <w:spacing w:before="120"/>
        <w:ind w:left="1843" w:hanging="1843"/>
        <w:rPr>
          <w:rFonts w:ascii="Times New Roman" w:hAnsi="Times New Roman"/>
          <w:szCs w:val="24"/>
          <w:lang w:eastAsia="en-US"/>
        </w:rPr>
      </w:pPr>
      <w:r w:rsidRPr="00F03D54">
        <w:rPr>
          <w:rFonts w:ascii="Times New Roman" w:hAnsi="Times New Roman"/>
          <w:szCs w:val="24"/>
          <w:lang w:eastAsia="en-US"/>
        </w:rPr>
        <w:t>Formulář č. 1/4</w:t>
      </w:r>
      <w:r w:rsidRPr="00F03D54">
        <w:rPr>
          <w:rFonts w:ascii="Times New Roman" w:hAnsi="Times New Roman"/>
          <w:szCs w:val="24"/>
          <w:lang w:eastAsia="en-US"/>
        </w:rPr>
        <w:tab/>
        <w:t>Výdaje převáděné z kapitoly Operace státních finančních aktiv na</w:t>
      </w:r>
      <w:r w:rsidR="001F751F">
        <w:rPr>
          <w:rFonts w:ascii="Times New Roman" w:hAnsi="Times New Roman"/>
          <w:szCs w:val="24"/>
          <w:lang w:eastAsia="en-US"/>
        </w:rPr>
        <w:t> </w:t>
      </w:r>
      <w:r w:rsidRPr="00F03D54">
        <w:rPr>
          <w:rFonts w:ascii="Times New Roman" w:hAnsi="Times New Roman"/>
          <w:szCs w:val="24"/>
          <w:lang w:eastAsia="en-US"/>
        </w:rPr>
        <w:t>financování potřeb kapitol státního rozpočtu na rok 2017 a 2018</w:t>
      </w:r>
    </w:p>
    <w:p w14:paraId="51347FB2" w14:textId="77777777" w:rsidR="00F03D54" w:rsidRPr="00F03D54" w:rsidRDefault="00F03D54" w:rsidP="001F751F">
      <w:pPr>
        <w:spacing w:before="120"/>
        <w:ind w:left="1843" w:hanging="1843"/>
        <w:rPr>
          <w:rFonts w:ascii="Times New Roman" w:hAnsi="Times New Roman"/>
          <w:szCs w:val="24"/>
          <w:lang w:eastAsia="en-US"/>
        </w:rPr>
      </w:pPr>
      <w:r w:rsidRPr="00F03D54">
        <w:rPr>
          <w:rFonts w:ascii="Times New Roman" w:hAnsi="Times New Roman"/>
          <w:szCs w:val="24"/>
          <w:lang w:eastAsia="en-US"/>
        </w:rPr>
        <w:t>Formulář č. 1/5</w:t>
      </w:r>
      <w:r w:rsidRPr="00F03D54">
        <w:rPr>
          <w:rFonts w:ascii="Times New Roman" w:hAnsi="Times New Roman"/>
          <w:szCs w:val="24"/>
          <w:lang w:eastAsia="en-US"/>
        </w:rPr>
        <w:tab/>
        <w:t>Přehled rozpočtu nákladů a výnosů státních příspěvkových organizací</w:t>
      </w:r>
    </w:p>
    <w:p w14:paraId="51347FB3" w14:textId="77777777" w:rsidR="00F03D54" w:rsidRPr="00F03D54" w:rsidRDefault="00F03D54" w:rsidP="001F751F">
      <w:pPr>
        <w:spacing w:before="120"/>
        <w:ind w:left="1843" w:hanging="1843"/>
        <w:rPr>
          <w:rFonts w:ascii="Times New Roman" w:hAnsi="Times New Roman"/>
          <w:szCs w:val="24"/>
          <w:lang w:eastAsia="en-US"/>
        </w:rPr>
      </w:pPr>
      <w:r w:rsidRPr="00F03D54">
        <w:rPr>
          <w:rFonts w:ascii="Times New Roman" w:hAnsi="Times New Roman"/>
          <w:szCs w:val="24"/>
          <w:lang w:eastAsia="en-US"/>
        </w:rPr>
        <w:t>Formulář č. 9/1</w:t>
      </w:r>
      <w:r w:rsidRPr="00F03D54">
        <w:rPr>
          <w:rFonts w:ascii="Times New Roman" w:hAnsi="Times New Roman"/>
          <w:szCs w:val="24"/>
          <w:lang w:eastAsia="en-US"/>
        </w:rPr>
        <w:tab/>
        <w:t>Výdaje, které jsou nebo mají být kryty z rozpočtu Evropské unie včetně stanoveného podílu státního rozpočtu na financování těchto výdajů</w:t>
      </w:r>
    </w:p>
    <w:p w14:paraId="51347FB4" w14:textId="77777777" w:rsidR="00F03D54" w:rsidRPr="001F751F" w:rsidRDefault="00F03D54" w:rsidP="001F751F">
      <w:pPr>
        <w:spacing w:before="120"/>
        <w:ind w:left="1843" w:hanging="1843"/>
        <w:rPr>
          <w:rFonts w:ascii="Times New Roman" w:hAnsi="Times New Roman"/>
          <w:szCs w:val="24"/>
          <w:lang w:eastAsia="en-US"/>
        </w:rPr>
      </w:pPr>
      <w:r w:rsidRPr="00F03D54">
        <w:rPr>
          <w:rFonts w:ascii="Times New Roman" w:hAnsi="Times New Roman"/>
          <w:szCs w:val="24"/>
          <w:lang w:eastAsia="en-US"/>
        </w:rPr>
        <w:t>Formulář č. 10/1</w:t>
      </w:r>
      <w:r w:rsidRPr="00F03D54">
        <w:rPr>
          <w:rFonts w:ascii="Times New Roman" w:hAnsi="Times New Roman"/>
          <w:szCs w:val="24"/>
          <w:lang w:eastAsia="en-US"/>
        </w:rPr>
        <w:tab/>
        <w:t>Výdaje státního rozpočtu na významné veřejné zakázky podle § 16a zákona č. 137/2006 Sb., o veřejných zakázkách, pokud je smlouva uzavírána na dobu delší než 1 rok</w:t>
      </w:r>
    </w:p>
    <w:sectPr w:rsidR="00F03D54" w:rsidRPr="001F751F" w:rsidSect="002B6B50">
      <w:pgSz w:w="11906" w:h="16838" w:code="9"/>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47FCB" w14:textId="77777777" w:rsidR="001968CD" w:rsidRDefault="001968CD" w:rsidP="004B7849">
      <w:pPr>
        <w:spacing w:line="240" w:lineRule="auto"/>
      </w:pPr>
      <w:r>
        <w:separator/>
      </w:r>
    </w:p>
  </w:endnote>
  <w:endnote w:type="continuationSeparator" w:id="0">
    <w:p w14:paraId="51347FCC" w14:textId="77777777" w:rsidR="001968CD" w:rsidRDefault="001968CD" w:rsidP="004B7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47FCD" w14:textId="77777777" w:rsidR="001968CD" w:rsidRDefault="001968CD">
    <w:pPr>
      <w:pStyle w:val="Obsah1"/>
      <w:jc w:val="right"/>
    </w:pPr>
  </w:p>
  <w:p w14:paraId="51347FCE" w14:textId="77777777" w:rsidR="001968CD" w:rsidRPr="006A58F3" w:rsidRDefault="001968CD" w:rsidP="006A58F3">
    <w:pPr>
      <w:pStyle w:val="Obsah1"/>
      <w:jc w:val="center"/>
      <w:rPr>
        <w:rFonts w:ascii="Times New Roman" w:hAnsi="Times New Roman"/>
      </w:rPr>
    </w:pPr>
    <w:r>
      <w:rPr>
        <w:rFonts w:ascii="Times New Roman" w:hAnsi="Times New Roman"/>
      </w:rPr>
      <w:t xml:space="preserve">Schválený </w:t>
    </w:r>
    <w:r w:rsidRPr="006A58F3">
      <w:rPr>
        <w:rFonts w:ascii="Times New Roman" w:hAnsi="Times New Roman"/>
      </w:rPr>
      <w:t>rozpoč</w:t>
    </w:r>
    <w:r>
      <w:rPr>
        <w:rFonts w:ascii="Times New Roman" w:hAnsi="Times New Roman"/>
      </w:rPr>
      <w:t>e</w:t>
    </w:r>
    <w:r w:rsidRPr="006A58F3">
      <w:rPr>
        <w:rFonts w:ascii="Times New Roman" w:hAnsi="Times New Roman"/>
      </w:rPr>
      <w:t>t na rok 2016 a střednědob</w:t>
    </w:r>
    <w:r>
      <w:rPr>
        <w:rFonts w:ascii="Times New Roman" w:hAnsi="Times New Roman"/>
      </w:rPr>
      <w:t>ý</w:t>
    </w:r>
    <w:r w:rsidRPr="006A58F3">
      <w:rPr>
        <w:rFonts w:ascii="Times New Roman" w:hAnsi="Times New Roman"/>
      </w:rPr>
      <w:t xml:space="preserve"> výhled na léta 2017 a 2018</w:t>
    </w:r>
  </w:p>
  <w:p w14:paraId="51347FCF" w14:textId="77777777" w:rsidR="001968CD" w:rsidRPr="006A58F3" w:rsidRDefault="001968CD" w:rsidP="006A58F3">
    <w:pPr>
      <w:pStyle w:val="Obsah1"/>
      <w:jc w:val="center"/>
      <w:rPr>
        <w:rFonts w:ascii="Times New Roman" w:hAnsi="Times New Roman"/>
      </w:rPr>
    </w:pPr>
    <w:r w:rsidRPr="006A58F3">
      <w:rPr>
        <w:rFonts w:ascii="Times New Roman" w:hAnsi="Times New Roman"/>
      </w:rPr>
      <w:t>Kapitola 334</w:t>
    </w:r>
    <w:r>
      <w:rPr>
        <w:rFonts w:ascii="Times New Roman" w:hAnsi="Times New Roman"/>
      </w:rPr>
      <w:t xml:space="preserve"> -</w:t>
    </w:r>
    <w:r w:rsidRPr="006A58F3">
      <w:rPr>
        <w:rFonts w:ascii="Times New Roman" w:hAnsi="Times New Roman"/>
      </w:rPr>
      <w:t xml:space="preserve"> Ministerstvo kultury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7935"/>
      <w:docPartObj>
        <w:docPartGallery w:val="Page Numbers (Bottom of Page)"/>
        <w:docPartUnique/>
      </w:docPartObj>
    </w:sdtPr>
    <w:sdtEndPr/>
    <w:sdtContent>
      <w:p w14:paraId="51347FD0" w14:textId="77777777" w:rsidR="001968CD" w:rsidRDefault="001968CD">
        <w:pPr>
          <w:pStyle w:val="Obsah1"/>
          <w:jc w:val="right"/>
        </w:pPr>
        <w:r>
          <w:fldChar w:fldCharType="begin"/>
        </w:r>
        <w:r>
          <w:instrText>PAGE   \* MERGEFORMAT</w:instrText>
        </w:r>
        <w:r>
          <w:fldChar w:fldCharType="separate"/>
        </w:r>
        <w:r w:rsidR="00E47BE4">
          <w:t>4</w:t>
        </w:r>
        <w:r>
          <w:fldChar w:fldCharType="end"/>
        </w:r>
      </w:p>
    </w:sdtContent>
  </w:sdt>
  <w:p w14:paraId="51347FD1" w14:textId="77777777" w:rsidR="001968CD" w:rsidRDefault="001968CD" w:rsidP="006A58F3">
    <w:pPr>
      <w:pStyle w:val="Obsah1"/>
      <w:jc w:val="center"/>
      <w:rPr>
        <w:rFonts w:ascii="Times New Roman" w:hAnsi="Times New Roman"/>
      </w:rPr>
    </w:pPr>
    <w:r>
      <w:rPr>
        <w:rFonts w:ascii="Times New Roman" w:hAnsi="Times New Roman"/>
      </w:rPr>
      <w:t>Schválený rozpočet na rok 2016 a střednědobý výhled na léta 2017, 2018</w:t>
    </w:r>
  </w:p>
  <w:p w14:paraId="51347FD2" w14:textId="77777777" w:rsidR="001968CD" w:rsidRPr="006A58F3" w:rsidRDefault="001968CD" w:rsidP="006A58F3">
    <w:pPr>
      <w:pStyle w:val="Obsah1"/>
      <w:jc w:val="center"/>
      <w:rPr>
        <w:rFonts w:ascii="Times New Roman" w:hAnsi="Times New Roman"/>
      </w:rPr>
    </w:pPr>
    <w:r>
      <w:rPr>
        <w:rFonts w:ascii="Times New Roman" w:hAnsi="Times New Roman"/>
      </w:rPr>
      <w:t>Kapitola 334 - Ministerstvo kultury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47FC9" w14:textId="77777777" w:rsidR="001968CD" w:rsidRDefault="001968CD" w:rsidP="004B7849">
      <w:pPr>
        <w:spacing w:line="240" w:lineRule="auto"/>
      </w:pPr>
      <w:r>
        <w:separator/>
      </w:r>
    </w:p>
  </w:footnote>
  <w:footnote w:type="continuationSeparator" w:id="0">
    <w:p w14:paraId="51347FCA" w14:textId="77777777" w:rsidR="001968CD" w:rsidRDefault="001968CD" w:rsidP="004B78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A3A3578"/>
    <w:lvl w:ilvl="0">
      <w:start w:val="1"/>
      <w:numFmt w:val="lowerLetter"/>
      <w:pStyle w:val="slovanseznam3"/>
      <w:lvlText w:val="%1)"/>
      <w:lvlJc w:val="left"/>
      <w:pPr>
        <w:tabs>
          <w:tab w:val="num" w:pos="1080"/>
        </w:tabs>
        <w:ind w:left="1080" w:hanging="360"/>
      </w:pPr>
      <w:rPr>
        <w:rFonts w:cs="Times New Roman"/>
      </w:rPr>
    </w:lvl>
  </w:abstractNum>
  <w:abstractNum w:abstractNumId="1">
    <w:nsid w:val="079933EF"/>
    <w:multiLevelType w:val="hybridMultilevel"/>
    <w:tmpl w:val="0DD853C2"/>
    <w:lvl w:ilvl="0" w:tplc="0ED099EC">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3DD3574"/>
    <w:multiLevelType w:val="hybridMultilevel"/>
    <w:tmpl w:val="D7C67F8A"/>
    <w:lvl w:ilvl="0" w:tplc="0ED099EC">
      <w:numFmt w:val="bullet"/>
      <w:lvlText w:val="-"/>
      <w:lvlJc w:val="left"/>
      <w:pPr>
        <w:ind w:left="1004" w:hanging="360"/>
      </w:pPr>
      <w:rPr>
        <w:rFonts w:ascii="Arial" w:eastAsia="Times New Roman"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nsid w:val="18EC5573"/>
    <w:multiLevelType w:val="singleLevel"/>
    <w:tmpl w:val="0405000F"/>
    <w:lvl w:ilvl="0">
      <w:start w:val="1"/>
      <w:numFmt w:val="decimal"/>
      <w:lvlText w:val="%1."/>
      <w:lvlJc w:val="left"/>
      <w:pPr>
        <w:tabs>
          <w:tab w:val="num" w:pos="360"/>
        </w:tabs>
        <w:ind w:left="360" w:hanging="360"/>
      </w:pPr>
    </w:lvl>
  </w:abstractNum>
  <w:abstractNum w:abstractNumId="4">
    <w:nsid w:val="21156237"/>
    <w:multiLevelType w:val="hybridMultilevel"/>
    <w:tmpl w:val="6352E12E"/>
    <w:lvl w:ilvl="0" w:tplc="34483050">
      <w:start w:val="1"/>
      <w:numFmt w:val="decimal"/>
      <w:lvlText w:val="%1)"/>
      <w:lvlJc w:val="left"/>
      <w:pPr>
        <w:tabs>
          <w:tab w:val="num" w:pos="0"/>
        </w:tabs>
        <w:ind w:left="360" w:hanging="360"/>
      </w:pPr>
      <w:rPr>
        <w:rFonts w:ascii="Times New Roman" w:eastAsia="Times New Roman" w:hAnsi="Times New Roman" w:cs="Times New Roman"/>
        <w:b w:val="0"/>
        <w:i w:val="0"/>
        <w:sz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22716F41"/>
    <w:multiLevelType w:val="hybridMultilevel"/>
    <w:tmpl w:val="D340DC90"/>
    <w:lvl w:ilvl="0" w:tplc="0405000F">
      <w:start w:val="1"/>
      <w:numFmt w:val="decimal"/>
      <w:lvlText w:val="%1."/>
      <w:lvlJc w:val="left"/>
      <w:pPr>
        <w:ind w:left="9433" w:hanging="360"/>
      </w:pPr>
    </w:lvl>
    <w:lvl w:ilvl="1" w:tplc="04050019" w:tentative="1">
      <w:start w:val="1"/>
      <w:numFmt w:val="lowerLetter"/>
      <w:lvlText w:val="%2."/>
      <w:lvlJc w:val="left"/>
      <w:pPr>
        <w:ind w:left="10153" w:hanging="360"/>
      </w:pPr>
    </w:lvl>
    <w:lvl w:ilvl="2" w:tplc="0405001B" w:tentative="1">
      <w:start w:val="1"/>
      <w:numFmt w:val="lowerRoman"/>
      <w:lvlText w:val="%3."/>
      <w:lvlJc w:val="right"/>
      <w:pPr>
        <w:ind w:left="10873" w:hanging="180"/>
      </w:pPr>
    </w:lvl>
    <w:lvl w:ilvl="3" w:tplc="0405000F" w:tentative="1">
      <w:start w:val="1"/>
      <w:numFmt w:val="decimal"/>
      <w:lvlText w:val="%4."/>
      <w:lvlJc w:val="left"/>
      <w:pPr>
        <w:ind w:left="11593" w:hanging="360"/>
      </w:pPr>
    </w:lvl>
    <w:lvl w:ilvl="4" w:tplc="04050019" w:tentative="1">
      <w:start w:val="1"/>
      <w:numFmt w:val="lowerLetter"/>
      <w:lvlText w:val="%5."/>
      <w:lvlJc w:val="left"/>
      <w:pPr>
        <w:ind w:left="12313" w:hanging="360"/>
      </w:pPr>
    </w:lvl>
    <w:lvl w:ilvl="5" w:tplc="0405001B" w:tentative="1">
      <w:start w:val="1"/>
      <w:numFmt w:val="lowerRoman"/>
      <w:lvlText w:val="%6."/>
      <w:lvlJc w:val="right"/>
      <w:pPr>
        <w:ind w:left="13033" w:hanging="180"/>
      </w:pPr>
    </w:lvl>
    <w:lvl w:ilvl="6" w:tplc="0405000F" w:tentative="1">
      <w:start w:val="1"/>
      <w:numFmt w:val="decimal"/>
      <w:lvlText w:val="%7."/>
      <w:lvlJc w:val="left"/>
      <w:pPr>
        <w:ind w:left="13753" w:hanging="360"/>
      </w:pPr>
    </w:lvl>
    <w:lvl w:ilvl="7" w:tplc="04050019" w:tentative="1">
      <w:start w:val="1"/>
      <w:numFmt w:val="lowerLetter"/>
      <w:lvlText w:val="%8."/>
      <w:lvlJc w:val="left"/>
      <w:pPr>
        <w:ind w:left="14473" w:hanging="360"/>
      </w:pPr>
    </w:lvl>
    <w:lvl w:ilvl="8" w:tplc="0405001B" w:tentative="1">
      <w:start w:val="1"/>
      <w:numFmt w:val="lowerRoman"/>
      <w:lvlText w:val="%9."/>
      <w:lvlJc w:val="right"/>
      <w:pPr>
        <w:ind w:left="15193" w:hanging="180"/>
      </w:pPr>
    </w:lvl>
  </w:abstractNum>
  <w:abstractNum w:abstractNumId="6">
    <w:nsid w:val="27E41B8E"/>
    <w:multiLevelType w:val="hybridMultilevel"/>
    <w:tmpl w:val="4D24AD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2A68EC"/>
    <w:multiLevelType w:val="hybridMultilevel"/>
    <w:tmpl w:val="FFC0FE74"/>
    <w:lvl w:ilvl="0" w:tplc="0ED099EC">
      <w:numFmt w:val="bullet"/>
      <w:lvlText w:val="-"/>
      <w:lvlJc w:val="left"/>
      <w:pPr>
        <w:ind w:left="-288" w:hanging="360"/>
      </w:pPr>
      <w:rPr>
        <w:rFonts w:ascii="Arial" w:eastAsia="Times New Roman" w:hAnsi="Arial" w:cs="Arial" w:hint="default"/>
      </w:rPr>
    </w:lvl>
    <w:lvl w:ilvl="1" w:tplc="04050003">
      <w:start w:val="1"/>
      <w:numFmt w:val="bullet"/>
      <w:lvlText w:val="o"/>
      <w:lvlJc w:val="left"/>
      <w:pPr>
        <w:ind w:left="432" w:hanging="360"/>
      </w:pPr>
      <w:rPr>
        <w:rFonts w:ascii="Courier New" w:hAnsi="Courier New" w:cs="Courier New" w:hint="default"/>
      </w:rPr>
    </w:lvl>
    <w:lvl w:ilvl="2" w:tplc="04050005" w:tentative="1">
      <w:start w:val="1"/>
      <w:numFmt w:val="bullet"/>
      <w:lvlText w:val=""/>
      <w:lvlJc w:val="left"/>
      <w:pPr>
        <w:ind w:left="1152" w:hanging="360"/>
      </w:pPr>
      <w:rPr>
        <w:rFonts w:ascii="Wingdings" w:hAnsi="Wingdings" w:hint="default"/>
      </w:rPr>
    </w:lvl>
    <w:lvl w:ilvl="3" w:tplc="04050001" w:tentative="1">
      <w:start w:val="1"/>
      <w:numFmt w:val="bullet"/>
      <w:lvlText w:val=""/>
      <w:lvlJc w:val="left"/>
      <w:pPr>
        <w:ind w:left="1872" w:hanging="360"/>
      </w:pPr>
      <w:rPr>
        <w:rFonts w:ascii="Symbol" w:hAnsi="Symbol" w:hint="default"/>
      </w:rPr>
    </w:lvl>
    <w:lvl w:ilvl="4" w:tplc="04050003" w:tentative="1">
      <w:start w:val="1"/>
      <w:numFmt w:val="bullet"/>
      <w:lvlText w:val="o"/>
      <w:lvlJc w:val="left"/>
      <w:pPr>
        <w:ind w:left="2592" w:hanging="360"/>
      </w:pPr>
      <w:rPr>
        <w:rFonts w:ascii="Courier New" w:hAnsi="Courier New" w:cs="Courier New" w:hint="default"/>
      </w:rPr>
    </w:lvl>
    <w:lvl w:ilvl="5" w:tplc="04050005" w:tentative="1">
      <w:start w:val="1"/>
      <w:numFmt w:val="bullet"/>
      <w:lvlText w:val=""/>
      <w:lvlJc w:val="left"/>
      <w:pPr>
        <w:ind w:left="3312" w:hanging="360"/>
      </w:pPr>
      <w:rPr>
        <w:rFonts w:ascii="Wingdings" w:hAnsi="Wingdings" w:hint="default"/>
      </w:rPr>
    </w:lvl>
    <w:lvl w:ilvl="6" w:tplc="04050001" w:tentative="1">
      <w:start w:val="1"/>
      <w:numFmt w:val="bullet"/>
      <w:lvlText w:val=""/>
      <w:lvlJc w:val="left"/>
      <w:pPr>
        <w:ind w:left="4032" w:hanging="360"/>
      </w:pPr>
      <w:rPr>
        <w:rFonts w:ascii="Symbol" w:hAnsi="Symbol" w:hint="default"/>
      </w:rPr>
    </w:lvl>
    <w:lvl w:ilvl="7" w:tplc="04050003" w:tentative="1">
      <w:start w:val="1"/>
      <w:numFmt w:val="bullet"/>
      <w:lvlText w:val="o"/>
      <w:lvlJc w:val="left"/>
      <w:pPr>
        <w:ind w:left="4752" w:hanging="360"/>
      </w:pPr>
      <w:rPr>
        <w:rFonts w:ascii="Courier New" w:hAnsi="Courier New" w:cs="Courier New" w:hint="default"/>
      </w:rPr>
    </w:lvl>
    <w:lvl w:ilvl="8" w:tplc="04050005" w:tentative="1">
      <w:start w:val="1"/>
      <w:numFmt w:val="bullet"/>
      <w:lvlText w:val=""/>
      <w:lvlJc w:val="left"/>
      <w:pPr>
        <w:ind w:left="5472" w:hanging="360"/>
      </w:pPr>
      <w:rPr>
        <w:rFonts w:ascii="Wingdings" w:hAnsi="Wingdings" w:hint="default"/>
      </w:rPr>
    </w:lvl>
  </w:abstractNum>
  <w:abstractNum w:abstractNumId="8">
    <w:nsid w:val="329B2C99"/>
    <w:multiLevelType w:val="hybridMultilevel"/>
    <w:tmpl w:val="7910C808"/>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nsid w:val="33D70AF2"/>
    <w:multiLevelType w:val="hybridMultilevel"/>
    <w:tmpl w:val="26BE8EA2"/>
    <w:lvl w:ilvl="0" w:tplc="0ED099EC">
      <w:numFmt w:val="bullet"/>
      <w:lvlText w:val="-"/>
      <w:lvlJc w:val="left"/>
      <w:pPr>
        <w:ind w:left="1004" w:hanging="360"/>
      </w:pPr>
      <w:rPr>
        <w:rFonts w:ascii="Arial" w:eastAsia="Times New Roman"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3AA9139D"/>
    <w:multiLevelType w:val="hybridMultilevel"/>
    <w:tmpl w:val="53185372"/>
    <w:lvl w:ilvl="0" w:tplc="AC581D78">
      <w:start w:val="400"/>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3C990150"/>
    <w:multiLevelType w:val="hybridMultilevel"/>
    <w:tmpl w:val="EF94B7F8"/>
    <w:lvl w:ilvl="0" w:tplc="0ED099EC">
      <w:numFmt w:val="bullet"/>
      <w:lvlText w:val="-"/>
      <w:lvlJc w:val="left"/>
      <w:pPr>
        <w:ind w:left="1004" w:hanging="360"/>
      </w:pPr>
      <w:rPr>
        <w:rFonts w:ascii="Arial" w:eastAsia="Times New Roman"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nsid w:val="3F5B41F3"/>
    <w:multiLevelType w:val="multilevel"/>
    <w:tmpl w:val="A836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DB64D5"/>
    <w:multiLevelType w:val="hybridMultilevel"/>
    <w:tmpl w:val="332C86A0"/>
    <w:lvl w:ilvl="0" w:tplc="0ED099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1040841"/>
    <w:multiLevelType w:val="hybridMultilevel"/>
    <w:tmpl w:val="943C3BF4"/>
    <w:lvl w:ilvl="0" w:tplc="AC581D78">
      <w:start w:val="400"/>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411E5D96"/>
    <w:multiLevelType w:val="hybridMultilevel"/>
    <w:tmpl w:val="653C42FE"/>
    <w:lvl w:ilvl="0" w:tplc="0ED099EC">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6">
    <w:nsid w:val="4DD1085C"/>
    <w:multiLevelType w:val="hybridMultilevel"/>
    <w:tmpl w:val="B3BCCC4A"/>
    <w:lvl w:ilvl="0" w:tplc="0ED099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1D758F2"/>
    <w:multiLevelType w:val="hybridMultilevel"/>
    <w:tmpl w:val="E37EF6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4FF6FAB"/>
    <w:multiLevelType w:val="hybridMultilevel"/>
    <w:tmpl w:val="8396A34E"/>
    <w:lvl w:ilvl="0" w:tplc="0ED099EC">
      <w:numFmt w:val="bullet"/>
      <w:lvlText w:val="-"/>
      <w:lvlJc w:val="left"/>
      <w:pPr>
        <w:ind w:left="1004" w:hanging="360"/>
      </w:pPr>
      <w:rPr>
        <w:rFonts w:ascii="Arial" w:eastAsia="Times New Roman"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nsid w:val="59C804A0"/>
    <w:multiLevelType w:val="hybridMultilevel"/>
    <w:tmpl w:val="1802519E"/>
    <w:lvl w:ilvl="0" w:tplc="0ED099EC">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65E66A59"/>
    <w:multiLevelType w:val="hybridMultilevel"/>
    <w:tmpl w:val="3F1201B6"/>
    <w:lvl w:ilvl="0" w:tplc="0ED099EC">
      <w:numFmt w:val="bullet"/>
      <w:lvlText w:val="-"/>
      <w:lvlJc w:val="left"/>
      <w:pPr>
        <w:ind w:left="1004" w:hanging="360"/>
      </w:pPr>
      <w:rPr>
        <w:rFonts w:ascii="Arial" w:eastAsia="Times New Roman" w:hAnsi="Arial" w:cs="Aria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nsid w:val="6CBC24DF"/>
    <w:multiLevelType w:val="hybridMultilevel"/>
    <w:tmpl w:val="54D4AFE0"/>
    <w:lvl w:ilvl="0" w:tplc="067C0708">
      <w:start w:val="1"/>
      <w:numFmt w:val="bullet"/>
      <w:lvlText w:val="­"/>
      <w:lvlJc w:val="left"/>
      <w:pPr>
        <w:ind w:left="1429" w:hanging="360"/>
      </w:pPr>
      <w:rPr>
        <w:rFonts w:ascii="Courier New" w:hAnsi="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nsid w:val="6DE404D1"/>
    <w:multiLevelType w:val="hybridMultilevel"/>
    <w:tmpl w:val="D234B4EE"/>
    <w:lvl w:ilvl="0" w:tplc="AC581D78">
      <w:start w:val="400"/>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70925B0B"/>
    <w:multiLevelType w:val="hybridMultilevel"/>
    <w:tmpl w:val="023C36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15232C9"/>
    <w:multiLevelType w:val="hybridMultilevel"/>
    <w:tmpl w:val="11728730"/>
    <w:lvl w:ilvl="0" w:tplc="0ED099EC">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7684000E"/>
    <w:multiLevelType w:val="hybridMultilevel"/>
    <w:tmpl w:val="7C4A7F2A"/>
    <w:lvl w:ilvl="0" w:tplc="0ED099E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DD12039"/>
    <w:multiLevelType w:val="hybridMultilevel"/>
    <w:tmpl w:val="9F7844F0"/>
    <w:lvl w:ilvl="0" w:tplc="0ED099EC">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20"/>
  </w:num>
  <w:num w:numId="3">
    <w:abstractNumId w:val="9"/>
  </w:num>
  <w:num w:numId="4">
    <w:abstractNumId w:val="13"/>
  </w:num>
  <w:num w:numId="5">
    <w:abstractNumId w:val="12"/>
  </w:num>
  <w:num w:numId="6">
    <w:abstractNumId w:val="26"/>
  </w:num>
  <w:num w:numId="7">
    <w:abstractNumId w:val="3"/>
  </w:num>
  <w:num w:numId="8">
    <w:abstractNumId w:val="10"/>
  </w:num>
  <w:num w:numId="9">
    <w:abstractNumId w:val="23"/>
  </w:num>
  <w:num w:numId="10">
    <w:abstractNumId w:val="5"/>
  </w:num>
  <w:num w:numId="11">
    <w:abstractNumId w:val="0"/>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4"/>
  </w:num>
  <w:num w:numId="16">
    <w:abstractNumId w:val="19"/>
  </w:num>
  <w:num w:numId="17">
    <w:abstractNumId w:val="15"/>
  </w:num>
  <w:num w:numId="18">
    <w:abstractNumId w:val="17"/>
  </w:num>
  <w:num w:numId="19">
    <w:abstractNumId w:val="22"/>
  </w:num>
  <w:num w:numId="20">
    <w:abstractNumId w:val="14"/>
  </w:num>
  <w:num w:numId="21">
    <w:abstractNumId w:val="21"/>
  </w:num>
  <w:num w:numId="22">
    <w:abstractNumId w:val="25"/>
  </w:num>
  <w:num w:numId="23">
    <w:abstractNumId w:val="18"/>
  </w:num>
  <w:num w:numId="24">
    <w:abstractNumId w:val="11"/>
  </w:num>
  <w:num w:numId="25">
    <w:abstractNumId w:val="7"/>
  </w:num>
  <w:num w:numId="26">
    <w:abstractNumId w:val="1"/>
  </w:num>
  <w:num w:numId="27">
    <w:abstractNumId w:val="2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B5"/>
    <w:rsid w:val="00004FFB"/>
    <w:rsid w:val="0000516F"/>
    <w:rsid w:val="00015522"/>
    <w:rsid w:val="00023275"/>
    <w:rsid w:val="00025E99"/>
    <w:rsid w:val="00033A68"/>
    <w:rsid w:val="0004136F"/>
    <w:rsid w:val="00047798"/>
    <w:rsid w:val="00060EF8"/>
    <w:rsid w:val="0006212D"/>
    <w:rsid w:val="00062651"/>
    <w:rsid w:val="00065049"/>
    <w:rsid w:val="0007217C"/>
    <w:rsid w:val="00072D1B"/>
    <w:rsid w:val="00090A1D"/>
    <w:rsid w:val="000A0047"/>
    <w:rsid w:val="000A132F"/>
    <w:rsid w:val="000A23EE"/>
    <w:rsid w:val="000A5EA5"/>
    <w:rsid w:val="000A79F3"/>
    <w:rsid w:val="000B2BD3"/>
    <w:rsid w:val="000B4DB5"/>
    <w:rsid w:val="000C3254"/>
    <w:rsid w:val="000D3104"/>
    <w:rsid w:val="000D5E60"/>
    <w:rsid w:val="000E076D"/>
    <w:rsid w:val="000E07DA"/>
    <w:rsid w:val="000E0D42"/>
    <w:rsid w:val="000E1CE0"/>
    <w:rsid w:val="000E5EF2"/>
    <w:rsid w:val="000E6153"/>
    <w:rsid w:val="000F060D"/>
    <w:rsid w:val="000F1852"/>
    <w:rsid w:val="000F2057"/>
    <w:rsid w:val="000F28F1"/>
    <w:rsid w:val="000F6720"/>
    <w:rsid w:val="000F771B"/>
    <w:rsid w:val="00100257"/>
    <w:rsid w:val="00111719"/>
    <w:rsid w:val="00112B42"/>
    <w:rsid w:val="00116A5A"/>
    <w:rsid w:val="00127772"/>
    <w:rsid w:val="001318F1"/>
    <w:rsid w:val="0013643E"/>
    <w:rsid w:val="001426A0"/>
    <w:rsid w:val="00146751"/>
    <w:rsid w:val="00152DF5"/>
    <w:rsid w:val="001567CD"/>
    <w:rsid w:val="0016351C"/>
    <w:rsid w:val="00165A2C"/>
    <w:rsid w:val="00165D2F"/>
    <w:rsid w:val="00186B5C"/>
    <w:rsid w:val="0018766E"/>
    <w:rsid w:val="00195533"/>
    <w:rsid w:val="001968CD"/>
    <w:rsid w:val="001A11F7"/>
    <w:rsid w:val="001A6479"/>
    <w:rsid w:val="001B0D66"/>
    <w:rsid w:val="001B4620"/>
    <w:rsid w:val="001B4B70"/>
    <w:rsid w:val="001C0F1B"/>
    <w:rsid w:val="001C1200"/>
    <w:rsid w:val="001C55D5"/>
    <w:rsid w:val="001C5898"/>
    <w:rsid w:val="001C74CB"/>
    <w:rsid w:val="001D72D6"/>
    <w:rsid w:val="001D74E5"/>
    <w:rsid w:val="001F23D0"/>
    <w:rsid w:val="001F701E"/>
    <w:rsid w:val="001F751F"/>
    <w:rsid w:val="00202815"/>
    <w:rsid w:val="00214DFB"/>
    <w:rsid w:val="00216834"/>
    <w:rsid w:val="00217597"/>
    <w:rsid w:val="00220390"/>
    <w:rsid w:val="00220738"/>
    <w:rsid w:val="002216B9"/>
    <w:rsid w:val="00234234"/>
    <w:rsid w:val="00234804"/>
    <w:rsid w:val="002378AF"/>
    <w:rsid w:val="00242244"/>
    <w:rsid w:val="002512D9"/>
    <w:rsid w:val="00251E95"/>
    <w:rsid w:val="0025371C"/>
    <w:rsid w:val="00255BAE"/>
    <w:rsid w:val="00257C50"/>
    <w:rsid w:val="002621F3"/>
    <w:rsid w:val="002668BC"/>
    <w:rsid w:val="002730AA"/>
    <w:rsid w:val="002910CA"/>
    <w:rsid w:val="002A134A"/>
    <w:rsid w:val="002B24CE"/>
    <w:rsid w:val="002B2CFC"/>
    <w:rsid w:val="002B5196"/>
    <w:rsid w:val="002B624E"/>
    <w:rsid w:val="002B6B50"/>
    <w:rsid w:val="002C1218"/>
    <w:rsid w:val="002D6A2C"/>
    <w:rsid w:val="002E1400"/>
    <w:rsid w:val="002E4F1A"/>
    <w:rsid w:val="0030043A"/>
    <w:rsid w:val="00310E28"/>
    <w:rsid w:val="00314DE1"/>
    <w:rsid w:val="003150D7"/>
    <w:rsid w:val="00316C60"/>
    <w:rsid w:val="00326EC0"/>
    <w:rsid w:val="0033313E"/>
    <w:rsid w:val="003358AF"/>
    <w:rsid w:val="003541CD"/>
    <w:rsid w:val="0035438E"/>
    <w:rsid w:val="00357ACE"/>
    <w:rsid w:val="00360435"/>
    <w:rsid w:val="00367756"/>
    <w:rsid w:val="00372BD3"/>
    <w:rsid w:val="00375865"/>
    <w:rsid w:val="003766FC"/>
    <w:rsid w:val="00386A2C"/>
    <w:rsid w:val="00395104"/>
    <w:rsid w:val="00397983"/>
    <w:rsid w:val="003A7B82"/>
    <w:rsid w:val="003B36E7"/>
    <w:rsid w:val="003B4360"/>
    <w:rsid w:val="003B70BA"/>
    <w:rsid w:val="003C0E0D"/>
    <w:rsid w:val="003C3B5B"/>
    <w:rsid w:val="003E4200"/>
    <w:rsid w:val="003E6D51"/>
    <w:rsid w:val="003E7BCF"/>
    <w:rsid w:val="003F230C"/>
    <w:rsid w:val="003F5E66"/>
    <w:rsid w:val="003F7402"/>
    <w:rsid w:val="00400D73"/>
    <w:rsid w:val="004055F6"/>
    <w:rsid w:val="00405B25"/>
    <w:rsid w:val="004076D8"/>
    <w:rsid w:val="00410C7A"/>
    <w:rsid w:val="00412836"/>
    <w:rsid w:val="004149C3"/>
    <w:rsid w:val="00417ADE"/>
    <w:rsid w:val="00435B46"/>
    <w:rsid w:val="0045056C"/>
    <w:rsid w:val="0045523C"/>
    <w:rsid w:val="0046190C"/>
    <w:rsid w:val="00461A0E"/>
    <w:rsid w:val="00464C08"/>
    <w:rsid w:val="00466993"/>
    <w:rsid w:val="004857CE"/>
    <w:rsid w:val="00487189"/>
    <w:rsid w:val="00492AA2"/>
    <w:rsid w:val="00496E1B"/>
    <w:rsid w:val="004A0438"/>
    <w:rsid w:val="004A2FC2"/>
    <w:rsid w:val="004B24B3"/>
    <w:rsid w:val="004B2545"/>
    <w:rsid w:val="004B457C"/>
    <w:rsid w:val="004B53E2"/>
    <w:rsid w:val="004B7849"/>
    <w:rsid w:val="004C11CB"/>
    <w:rsid w:val="004C5B3C"/>
    <w:rsid w:val="004E65E7"/>
    <w:rsid w:val="00516417"/>
    <w:rsid w:val="0052326B"/>
    <w:rsid w:val="00526625"/>
    <w:rsid w:val="00527642"/>
    <w:rsid w:val="00551482"/>
    <w:rsid w:val="005548A5"/>
    <w:rsid w:val="005730B7"/>
    <w:rsid w:val="00574461"/>
    <w:rsid w:val="0057540E"/>
    <w:rsid w:val="005759C7"/>
    <w:rsid w:val="00575F01"/>
    <w:rsid w:val="005827DE"/>
    <w:rsid w:val="005837FE"/>
    <w:rsid w:val="005938BB"/>
    <w:rsid w:val="00595E43"/>
    <w:rsid w:val="00596C47"/>
    <w:rsid w:val="005A1F85"/>
    <w:rsid w:val="005B383F"/>
    <w:rsid w:val="005B476C"/>
    <w:rsid w:val="005C4864"/>
    <w:rsid w:val="005C71EC"/>
    <w:rsid w:val="005C7315"/>
    <w:rsid w:val="005D318B"/>
    <w:rsid w:val="005E5C15"/>
    <w:rsid w:val="005E5D9A"/>
    <w:rsid w:val="005F032E"/>
    <w:rsid w:val="005F0BD0"/>
    <w:rsid w:val="005F1A01"/>
    <w:rsid w:val="005F6F27"/>
    <w:rsid w:val="005F74C1"/>
    <w:rsid w:val="00605928"/>
    <w:rsid w:val="00605D31"/>
    <w:rsid w:val="00606F43"/>
    <w:rsid w:val="0062446B"/>
    <w:rsid w:val="006265C8"/>
    <w:rsid w:val="00630745"/>
    <w:rsid w:val="0063159C"/>
    <w:rsid w:val="0063168E"/>
    <w:rsid w:val="006348A8"/>
    <w:rsid w:val="00636642"/>
    <w:rsid w:val="00636F56"/>
    <w:rsid w:val="00640072"/>
    <w:rsid w:val="00653321"/>
    <w:rsid w:val="00654D99"/>
    <w:rsid w:val="00655D30"/>
    <w:rsid w:val="006568D1"/>
    <w:rsid w:val="00657763"/>
    <w:rsid w:val="00664560"/>
    <w:rsid w:val="006649AC"/>
    <w:rsid w:val="00671C77"/>
    <w:rsid w:val="006731FF"/>
    <w:rsid w:val="00682391"/>
    <w:rsid w:val="006837F1"/>
    <w:rsid w:val="00685B74"/>
    <w:rsid w:val="0069068C"/>
    <w:rsid w:val="00694EA0"/>
    <w:rsid w:val="006955A2"/>
    <w:rsid w:val="00696F40"/>
    <w:rsid w:val="006A2A88"/>
    <w:rsid w:val="006A58F3"/>
    <w:rsid w:val="006A661E"/>
    <w:rsid w:val="006B021E"/>
    <w:rsid w:val="006B0A6B"/>
    <w:rsid w:val="006B0B31"/>
    <w:rsid w:val="006B5A30"/>
    <w:rsid w:val="006B71DF"/>
    <w:rsid w:val="006C07AF"/>
    <w:rsid w:val="006C1016"/>
    <w:rsid w:val="006C7B8E"/>
    <w:rsid w:val="006D3D6A"/>
    <w:rsid w:val="006E191D"/>
    <w:rsid w:val="006E7F7D"/>
    <w:rsid w:val="006E7F80"/>
    <w:rsid w:val="006F783F"/>
    <w:rsid w:val="0070124E"/>
    <w:rsid w:val="0070256C"/>
    <w:rsid w:val="00703A33"/>
    <w:rsid w:val="00704770"/>
    <w:rsid w:val="0070760E"/>
    <w:rsid w:val="00713FD8"/>
    <w:rsid w:val="00723EA8"/>
    <w:rsid w:val="00725231"/>
    <w:rsid w:val="00730E36"/>
    <w:rsid w:val="007314E4"/>
    <w:rsid w:val="00735CB2"/>
    <w:rsid w:val="0074356E"/>
    <w:rsid w:val="00750E3B"/>
    <w:rsid w:val="00751019"/>
    <w:rsid w:val="007642FE"/>
    <w:rsid w:val="00764EF0"/>
    <w:rsid w:val="0076650F"/>
    <w:rsid w:val="00766928"/>
    <w:rsid w:val="0077014F"/>
    <w:rsid w:val="00772620"/>
    <w:rsid w:val="007762FC"/>
    <w:rsid w:val="0078072D"/>
    <w:rsid w:val="00781563"/>
    <w:rsid w:val="007901B8"/>
    <w:rsid w:val="00790892"/>
    <w:rsid w:val="00792BE1"/>
    <w:rsid w:val="00793215"/>
    <w:rsid w:val="00793271"/>
    <w:rsid w:val="007955BB"/>
    <w:rsid w:val="00795BEB"/>
    <w:rsid w:val="007A2779"/>
    <w:rsid w:val="007A48EF"/>
    <w:rsid w:val="007B5912"/>
    <w:rsid w:val="007C1BE4"/>
    <w:rsid w:val="007C278B"/>
    <w:rsid w:val="007D3FA6"/>
    <w:rsid w:val="007E3117"/>
    <w:rsid w:val="007E43A0"/>
    <w:rsid w:val="007E47F9"/>
    <w:rsid w:val="007E6540"/>
    <w:rsid w:val="007F2741"/>
    <w:rsid w:val="007F3247"/>
    <w:rsid w:val="00800C2F"/>
    <w:rsid w:val="00800E42"/>
    <w:rsid w:val="00802023"/>
    <w:rsid w:val="0080279E"/>
    <w:rsid w:val="00806255"/>
    <w:rsid w:val="008178EB"/>
    <w:rsid w:val="00822036"/>
    <w:rsid w:val="00841177"/>
    <w:rsid w:val="008413BD"/>
    <w:rsid w:val="0084192E"/>
    <w:rsid w:val="0084255B"/>
    <w:rsid w:val="00842839"/>
    <w:rsid w:val="00845CEE"/>
    <w:rsid w:val="0085383F"/>
    <w:rsid w:val="00861C26"/>
    <w:rsid w:val="0087361D"/>
    <w:rsid w:val="0088241E"/>
    <w:rsid w:val="00883606"/>
    <w:rsid w:val="0089533C"/>
    <w:rsid w:val="00896DA2"/>
    <w:rsid w:val="008B7AED"/>
    <w:rsid w:val="008C6E06"/>
    <w:rsid w:val="008D17C7"/>
    <w:rsid w:val="008D1D58"/>
    <w:rsid w:val="008D35B9"/>
    <w:rsid w:val="008E2BE4"/>
    <w:rsid w:val="008E4101"/>
    <w:rsid w:val="008F076C"/>
    <w:rsid w:val="00901EDA"/>
    <w:rsid w:val="00906045"/>
    <w:rsid w:val="009274EE"/>
    <w:rsid w:val="009340BC"/>
    <w:rsid w:val="009375C5"/>
    <w:rsid w:val="00942796"/>
    <w:rsid w:val="00944531"/>
    <w:rsid w:val="00957DB2"/>
    <w:rsid w:val="00962125"/>
    <w:rsid w:val="00963BC5"/>
    <w:rsid w:val="00967348"/>
    <w:rsid w:val="00976FD5"/>
    <w:rsid w:val="00986A42"/>
    <w:rsid w:val="00991BB7"/>
    <w:rsid w:val="00995864"/>
    <w:rsid w:val="00997593"/>
    <w:rsid w:val="009A03E4"/>
    <w:rsid w:val="009B09B9"/>
    <w:rsid w:val="009B104E"/>
    <w:rsid w:val="009B5908"/>
    <w:rsid w:val="009C1FDE"/>
    <w:rsid w:val="009F1B6E"/>
    <w:rsid w:val="009F49EC"/>
    <w:rsid w:val="00A06F71"/>
    <w:rsid w:val="00A10220"/>
    <w:rsid w:val="00A27A63"/>
    <w:rsid w:val="00A30713"/>
    <w:rsid w:val="00A34EA7"/>
    <w:rsid w:val="00A52EE8"/>
    <w:rsid w:val="00A54038"/>
    <w:rsid w:val="00A6331E"/>
    <w:rsid w:val="00A71E87"/>
    <w:rsid w:val="00A72743"/>
    <w:rsid w:val="00A73970"/>
    <w:rsid w:val="00A7613C"/>
    <w:rsid w:val="00A76FAB"/>
    <w:rsid w:val="00A804C3"/>
    <w:rsid w:val="00A8190B"/>
    <w:rsid w:val="00A94207"/>
    <w:rsid w:val="00AA780F"/>
    <w:rsid w:val="00AB0E9E"/>
    <w:rsid w:val="00AB607E"/>
    <w:rsid w:val="00AC19BF"/>
    <w:rsid w:val="00AC4CAF"/>
    <w:rsid w:val="00AD4123"/>
    <w:rsid w:val="00AE5759"/>
    <w:rsid w:val="00AE6C31"/>
    <w:rsid w:val="00AF0D56"/>
    <w:rsid w:val="00AF1321"/>
    <w:rsid w:val="00B016A1"/>
    <w:rsid w:val="00B02E71"/>
    <w:rsid w:val="00B11559"/>
    <w:rsid w:val="00B20E91"/>
    <w:rsid w:val="00B25937"/>
    <w:rsid w:val="00B260CA"/>
    <w:rsid w:val="00B5034E"/>
    <w:rsid w:val="00B664BE"/>
    <w:rsid w:val="00B66F68"/>
    <w:rsid w:val="00B74893"/>
    <w:rsid w:val="00B76D7E"/>
    <w:rsid w:val="00B76F0D"/>
    <w:rsid w:val="00B813A6"/>
    <w:rsid w:val="00B81A8D"/>
    <w:rsid w:val="00B85160"/>
    <w:rsid w:val="00B85345"/>
    <w:rsid w:val="00B965B1"/>
    <w:rsid w:val="00BB2E13"/>
    <w:rsid w:val="00BC32EA"/>
    <w:rsid w:val="00BC49A5"/>
    <w:rsid w:val="00BE252A"/>
    <w:rsid w:val="00BE4861"/>
    <w:rsid w:val="00BF0914"/>
    <w:rsid w:val="00BF1F13"/>
    <w:rsid w:val="00BF4420"/>
    <w:rsid w:val="00BF779C"/>
    <w:rsid w:val="00C0370A"/>
    <w:rsid w:val="00C06A10"/>
    <w:rsid w:val="00C122FD"/>
    <w:rsid w:val="00C151FE"/>
    <w:rsid w:val="00C167CD"/>
    <w:rsid w:val="00C203A9"/>
    <w:rsid w:val="00C218A7"/>
    <w:rsid w:val="00C22F02"/>
    <w:rsid w:val="00C274AB"/>
    <w:rsid w:val="00C31CB2"/>
    <w:rsid w:val="00C429F6"/>
    <w:rsid w:val="00C47E92"/>
    <w:rsid w:val="00C53C24"/>
    <w:rsid w:val="00C658CA"/>
    <w:rsid w:val="00C65C93"/>
    <w:rsid w:val="00C74263"/>
    <w:rsid w:val="00C7610B"/>
    <w:rsid w:val="00C77DA3"/>
    <w:rsid w:val="00C8377C"/>
    <w:rsid w:val="00C919F6"/>
    <w:rsid w:val="00CB043A"/>
    <w:rsid w:val="00CC5CCC"/>
    <w:rsid w:val="00CC7041"/>
    <w:rsid w:val="00CD044B"/>
    <w:rsid w:val="00CD40A6"/>
    <w:rsid w:val="00CE5CF0"/>
    <w:rsid w:val="00CF1BA3"/>
    <w:rsid w:val="00D04C02"/>
    <w:rsid w:val="00D11338"/>
    <w:rsid w:val="00D1263B"/>
    <w:rsid w:val="00D145E0"/>
    <w:rsid w:val="00D152F9"/>
    <w:rsid w:val="00D16068"/>
    <w:rsid w:val="00D16F62"/>
    <w:rsid w:val="00D24494"/>
    <w:rsid w:val="00D27CB0"/>
    <w:rsid w:val="00D36671"/>
    <w:rsid w:val="00D45ECB"/>
    <w:rsid w:val="00D470CF"/>
    <w:rsid w:val="00D47A82"/>
    <w:rsid w:val="00D50E44"/>
    <w:rsid w:val="00D55972"/>
    <w:rsid w:val="00D55F98"/>
    <w:rsid w:val="00D604D2"/>
    <w:rsid w:val="00D7537F"/>
    <w:rsid w:val="00D776BD"/>
    <w:rsid w:val="00D813B2"/>
    <w:rsid w:val="00D954BD"/>
    <w:rsid w:val="00D95D74"/>
    <w:rsid w:val="00D97C78"/>
    <w:rsid w:val="00DB4A74"/>
    <w:rsid w:val="00DB5502"/>
    <w:rsid w:val="00DC64E0"/>
    <w:rsid w:val="00DC721B"/>
    <w:rsid w:val="00DF3FB9"/>
    <w:rsid w:val="00DF559A"/>
    <w:rsid w:val="00E22058"/>
    <w:rsid w:val="00E2212C"/>
    <w:rsid w:val="00E22D78"/>
    <w:rsid w:val="00E47BE4"/>
    <w:rsid w:val="00E50529"/>
    <w:rsid w:val="00E53644"/>
    <w:rsid w:val="00E543DC"/>
    <w:rsid w:val="00E55A73"/>
    <w:rsid w:val="00E62F75"/>
    <w:rsid w:val="00E73F0F"/>
    <w:rsid w:val="00E80BBD"/>
    <w:rsid w:val="00E82302"/>
    <w:rsid w:val="00E83065"/>
    <w:rsid w:val="00E84B6A"/>
    <w:rsid w:val="00E939BE"/>
    <w:rsid w:val="00E96118"/>
    <w:rsid w:val="00EA087B"/>
    <w:rsid w:val="00EA3037"/>
    <w:rsid w:val="00EA3962"/>
    <w:rsid w:val="00EA7EAD"/>
    <w:rsid w:val="00EB0A56"/>
    <w:rsid w:val="00EB6417"/>
    <w:rsid w:val="00EB6A4B"/>
    <w:rsid w:val="00EC31B4"/>
    <w:rsid w:val="00EC490B"/>
    <w:rsid w:val="00ED0EE3"/>
    <w:rsid w:val="00EF259B"/>
    <w:rsid w:val="00EF7A92"/>
    <w:rsid w:val="00F0238B"/>
    <w:rsid w:val="00F027B5"/>
    <w:rsid w:val="00F03D54"/>
    <w:rsid w:val="00F173B8"/>
    <w:rsid w:val="00F25E14"/>
    <w:rsid w:val="00F437AC"/>
    <w:rsid w:val="00F61CCD"/>
    <w:rsid w:val="00F6206B"/>
    <w:rsid w:val="00F630C4"/>
    <w:rsid w:val="00F726F7"/>
    <w:rsid w:val="00F80CA6"/>
    <w:rsid w:val="00F86015"/>
    <w:rsid w:val="00F95EC0"/>
    <w:rsid w:val="00F9723D"/>
    <w:rsid w:val="00FA2736"/>
    <w:rsid w:val="00FA295F"/>
    <w:rsid w:val="00FA387B"/>
    <w:rsid w:val="00FA45F6"/>
    <w:rsid w:val="00FB12EE"/>
    <w:rsid w:val="00FC445F"/>
    <w:rsid w:val="00FC7E0A"/>
    <w:rsid w:val="00FE2FF4"/>
    <w:rsid w:val="00FE76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34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5A30"/>
    <w:pPr>
      <w:spacing w:after="0"/>
      <w:jc w:val="both"/>
    </w:pPr>
    <w:rPr>
      <w:rFonts w:eastAsia="Times New Roman" w:cs="Times New Roman"/>
      <w:sz w:val="24"/>
      <w:szCs w:val="20"/>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C0370A"/>
    <w:pPr>
      <w:keepNext/>
      <w:keepLines/>
      <w:spacing w:before="480"/>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
    <w:unhideWhenUsed/>
    <w:qFormat/>
    <w:rsid w:val="004B53E2"/>
    <w:pPr>
      <w:keepNext/>
      <w:keepLines/>
      <w:spacing w:before="200"/>
      <w:jc w:val="left"/>
      <w:outlineLvl w:val="1"/>
    </w:pPr>
    <w:rPr>
      <w:rFonts w:ascii="Times New Roman" w:eastAsiaTheme="majorEastAsia" w:hAnsi="Times New Roman" w:cstheme="majorBidi"/>
      <w:b/>
      <w:bCs/>
      <w:sz w:val="26"/>
      <w:szCs w:val="26"/>
      <w:lang w:eastAsia="en-US"/>
    </w:rPr>
  </w:style>
  <w:style w:type="paragraph" w:styleId="Nadpis3">
    <w:name w:val="heading 3"/>
    <w:basedOn w:val="Normln"/>
    <w:next w:val="Normln"/>
    <w:link w:val="Nadpis3Char"/>
    <w:uiPriority w:val="9"/>
    <w:unhideWhenUsed/>
    <w:qFormat/>
    <w:rsid w:val="004B53E2"/>
    <w:pPr>
      <w:keepNext/>
      <w:keepLines/>
      <w:spacing w:before="200"/>
      <w:jc w:val="left"/>
      <w:outlineLvl w:val="2"/>
    </w:pPr>
    <w:rPr>
      <w:rFonts w:ascii="Times New Roman" w:eastAsiaTheme="majorEastAsia" w:hAnsi="Times New Roman" w:cstheme="majorBidi"/>
      <w:b/>
      <w:bCs/>
      <w:sz w:val="26"/>
      <w:szCs w:val="22"/>
      <w:lang w:eastAsia="en-US"/>
    </w:rPr>
  </w:style>
  <w:style w:type="paragraph" w:styleId="Nadpis4">
    <w:name w:val="heading 4"/>
    <w:basedOn w:val="Normln"/>
    <w:next w:val="Normln"/>
    <w:link w:val="Nadpis4Char"/>
    <w:uiPriority w:val="9"/>
    <w:unhideWhenUsed/>
    <w:qFormat/>
    <w:rsid w:val="00C0370A"/>
    <w:pPr>
      <w:keepNext/>
      <w:keepLines/>
      <w:spacing w:before="200"/>
      <w:jc w:val="left"/>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iPriority w:val="9"/>
    <w:semiHidden/>
    <w:unhideWhenUsed/>
    <w:qFormat/>
    <w:rsid w:val="00C0370A"/>
    <w:pPr>
      <w:keepNext/>
      <w:keepLines/>
      <w:spacing w:before="200"/>
      <w:jc w:val="left"/>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iPriority w:val="9"/>
    <w:semiHidden/>
    <w:unhideWhenUsed/>
    <w:qFormat/>
    <w:rsid w:val="00C0370A"/>
    <w:pPr>
      <w:keepNext/>
      <w:keepLines/>
      <w:spacing w:before="200"/>
      <w:jc w:val="left"/>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basedOn w:val="Normln"/>
    <w:next w:val="Normln"/>
    <w:link w:val="Nadpis7Char"/>
    <w:uiPriority w:val="9"/>
    <w:semiHidden/>
    <w:unhideWhenUsed/>
    <w:qFormat/>
    <w:rsid w:val="00C0370A"/>
    <w:pPr>
      <w:keepNext/>
      <w:keepLines/>
      <w:spacing w:before="200"/>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0370A"/>
    <w:pPr>
      <w:keepNext/>
      <w:keepLines/>
      <w:spacing w:before="200"/>
      <w:jc w:val="left"/>
      <w:outlineLvl w:val="7"/>
    </w:pPr>
    <w:rPr>
      <w:rFonts w:asciiTheme="majorHAnsi" w:eastAsiaTheme="majorEastAsia" w:hAnsiTheme="majorHAnsi" w:cstheme="majorBidi"/>
      <w:color w:val="4F81BD" w:themeColor="accent1"/>
      <w:sz w:val="20"/>
      <w:lang w:eastAsia="en-US"/>
    </w:rPr>
  </w:style>
  <w:style w:type="paragraph" w:styleId="Nadpis9">
    <w:name w:val="heading 9"/>
    <w:basedOn w:val="Normln"/>
    <w:next w:val="Normln"/>
    <w:link w:val="Nadpis9Char"/>
    <w:uiPriority w:val="9"/>
    <w:semiHidden/>
    <w:unhideWhenUsed/>
    <w:qFormat/>
    <w:rsid w:val="00C0370A"/>
    <w:pPr>
      <w:keepNext/>
      <w:keepLines/>
      <w:spacing w:before="200"/>
      <w:jc w:val="left"/>
      <w:outlineLvl w:val="8"/>
    </w:pPr>
    <w:rPr>
      <w:rFonts w:asciiTheme="majorHAnsi" w:eastAsiaTheme="majorEastAsia" w:hAnsiTheme="majorHAnsi" w:cstheme="majorBidi"/>
      <w:i/>
      <w:iCs/>
      <w:color w:val="404040" w:themeColor="text1" w:themeTint="BF"/>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C0370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4B53E2"/>
    <w:rPr>
      <w:rFonts w:ascii="Times New Roman" w:eastAsiaTheme="majorEastAsia" w:hAnsi="Times New Roman" w:cstheme="majorBidi"/>
      <w:b/>
      <w:bCs/>
      <w:sz w:val="26"/>
      <w:szCs w:val="26"/>
    </w:rPr>
  </w:style>
  <w:style w:type="character" w:customStyle="1" w:styleId="Nadpis3Char">
    <w:name w:val="Nadpis 3 Char"/>
    <w:basedOn w:val="Standardnpsmoodstavce"/>
    <w:link w:val="Nadpis3"/>
    <w:uiPriority w:val="9"/>
    <w:rsid w:val="004B53E2"/>
    <w:rPr>
      <w:rFonts w:ascii="Times New Roman" w:eastAsiaTheme="majorEastAsia" w:hAnsi="Times New Roman" w:cstheme="majorBidi"/>
      <w:b/>
      <w:bCs/>
      <w:sz w:val="26"/>
    </w:rPr>
  </w:style>
  <w:style w:type="character" w:customStyle="1" w:styleId="Nadpis4Char">
    <w:name w:val="Nadpis 4 Char"/>
    <w:basedOn w:val="Standardnpsmoodstavce"/>
    <w:link w:val="Nadpis4"/>
    <w:uiPriority w:val="9"/>
    <w:rsid w:val="00C0370A"/>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C0370A"/>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C0370A"/>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C0370A"/>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C0370A"/>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C0370A"/>
    <w:rPr>
      <w:rFonts w:asciiTheme="majorHAnsi" w:eastAsiaTheme="majorEastAsia" w:hAnsiTheme="majorHAnsi" w:cstheme="majorBidi"/>
      <w:i/>
      <w:iCs/>
      <w:color w:val="404040" w:themeColor="text1" w:themeTint="BF"/>
      <w:sz w:val="20"/>
      <w:szCs w:val="20"/>
    </w:rPr>
  </w:style>
  <w:style w:type="paragraph" w:customStyle="1" w:styleId="Styl1">
    <w:name w:val="Styl1"/>
    <w:basedOn w:val="Nadpis2"/>
    <w:qFormat/>
    <w:rsid w:val="00C0370A"/>
  </w:style>
  <w:style w:type="paragraph" w:styleId="Titulek">
    <w:name w:val="caption"/>
    <w:basedOn w:val="Normln"/>
    <w:next w:val="Normln"/>
    <w:uiPriority w:val="35"/>
    <w:semiHidden/>
    <w:unhideWhenUsed/>
    <w:qFormat/>
    <w:rsid w:val="00C0370A"/>
    <w:pPr>
      <w:spacing w:after="200" w:line="240" w:lineRule="auto"/>
      <w:jc w:val="left"/>
    </w:pPr>
    <w:rPr>
      <w:rFonts w:eastAsiaTheme="minorHAnsi" w:cstheme="minorBidi"/>
      <w:b/>
      <w:bCs/>
      <w:color w:val="4F81BD" w:themeColor="accent1"/>
      <w:sz w:val="18"/>
      <w:szCs w:val="18"/>
      <w:lang w:eastAsia="en-US"/>
    </w:rPr>
  </w:style>
  <w:style w:type="paragraph" w:styleId="Nzev">
    <w:name w:val="Title"/>
    <w:basedOn w:val="Normln"/>
    <w:next w:val="Normln"/>
    <w:link w:val="NzevChar"/>
    <w:qFormat/>
    <w:rsid w:val="00C0370A"/>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basedOn w:val="Standardnpsmoodstavce"/>
    <w:link w:val="Nzev"/>
    <w:rsid w:val="00C0370A"/>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C0370A"/>
    <w:pPr>
      <w:numPr>
        <w:ilvl w:val="1"/>
      </w:numPr>
      <w:spacing w:after="200"/>
      <w:jc w:val="left"/>
    </w:pPr>
    <w:rPr>
      <w:rFonts w:asciiTheme="majorHAnsi" w:eastAsiaTheme="majorEastAsia" w:hAnsiTheme="majorHAnsi" w:cstheme="majorBidi"/>
      <w:i/>
      <w:iCs/>
      <w:color w:val="4F81BD" w:themeColor="accent1"/>
      <w:spacing w:val="15"/>
      <w:szCs w:val="24"/>
      <w:lang w:eastAsia="en-US"/>
    </w:rPr>
  </w:style>
  <w:style w:type="character" w:customStyle="1" w:styleId="PodtitulChar">
    <w:name w:val="Podtitul Char"/>
    <w:basedOn w:val="Standardnpsmoodstavce"/>
    <w:link w:val="Podtitul"/>
    <w:uiPriority w:val="11"/>
    <w:rsid w:val="00C0370A"/>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C0370A"/>
    <w:rPr>
      <w:b/>
      <w:bCs/>
    </w:rPr>
  </w:style>
  <w:style w:type="character" w:styleId="Zvraznn">
    <w:name w:val="Emphasis"/>
    <w:basedOn w:val="Standardnpsmoodstavce"/>
    <w:uiPriority w:val="20"/>
    <w:qFormat/>
    <w:rsid w:val="00C0370A"/>
    <w:rPr>
      <w:i/>
      <w:iCs/>
    </w:rPr>
  </w:style>
  <w:style w:type="paragraph" w:styleId="Bezmezer">
    <w:name w:val="No Spacing"/>
    <w:link w:val="BezmezerChar"/>
    <w:uiPriority w:val="1"/>
    <w:qFormat/>
    <w:rsid w:val="00C0370A"/>
    <w:pPr>
      <w:spacing w:after="0" w:line="240" w:lineRule="auto"/>
    </w:pPr>
  </w:style>
  <w:style w:type="character" w:customStyle="1" w:styleId="BezmezerChar">
    <w:name w:val="Bez mezer Char"/>
    <w:basedOn w:val="Standardnpsmoodstavce"/>
    <w:link w:val="Bezmezer"/>
    <w:uiPriority w:val="1"/>
    <w:rsid w:val="00C0370A"/>
  </w:style>
  <w:style w:type="paragraph" w:styleId="Odstavecseseznamem">
    <w:name w:val="List Paragraph"/>
    <w:basedOn w:val="Normln"/>
    <w:link w:val="OdstavecseseznamemChar"/>
    <w:uiPriority w:val="34"/>
    <w:qFormat/>
    <w:rsid w:val="00C0370A"/>
    <w:pPr>
      <w:spacing w:after="200"/>
      <w:ind w:left="720"/>
      <w:contextualSpacing/>
      <w:jc w:val="left"/>
    </w:pPr>
    <w:rPr>
      <w:rFonts w:eastAsiaTheme="minorHAnsi" w:cstheme="minorBidi"/>
      <w:sz w:val="22"/>
      <w:szCs w:val="22"/>
      <w:lang w:eastAsia="en-US"/>
    </w:rPr>
  </w:style>
  <w:style w:type="character" w:customStyle="1" w:styleId="OdstavecseseznamemChar">
    <w:name w:val="Odstavec se seznamem Char"/>
    <w:basedOn w:val="Standardnpsmoodstavce"/>
    <w:link w:val="Odstavecseseznamem"/>
    <w:uiPriority w:val="34"/>
    <w:locked/>
    <w:rsid w:val="00DC721B"/>
  </w:style>
  <w:style w:type="paragraph" w:styleId="Citt">
    <w:name w:val="Quote"/>
    <w:basedOn w:val="Normln"/>
    <w:next w:val="Normln"/>
    <w:link w:val="CittChar"/>
    <w:uiPriority w:val="29"/>
    <w:qFormat/>
    <w:rsid w:val="00C0370A"/>
    <w:pPr>
      <w:spacing w:after="200"/>
      <w:jc w:val="left"/>
    </w:pPr>
    <w:rPr>
      <w:rFonts w:eastAsiaTheme="minorHAnsi" w:cstheme="minorBidi"/>
      <w:i/>
      <w:iCs/>
      <w:color w:val="000000" w:themeColor="text1"/>
      <w:sz w:val="22"/>
      <w:szCs w:val="22"/>
      <w:lang w:eastAsia="en-US"/>
    </w:rPr>
  </w:style>
  <w:style w:type="character" w:customStyle="1" w:styleId="CittChar">
    <w:name w:val="Citát Char"/>
    <w:basedOn w:val="Standardnpsmoodstavce"/>
    <w:link w:val="Citt"/>
    <w:uiPriority w:val="29"/>
    <w:rsid w:val="00C0370A"/>
    <w:rPr>
      <w:i/>
      <w:iCs/>
      <w:color w:val="000000" w:themeColor="text1"/>
    </w:rPr>
  </w:style>
  <w:style w:type="paragraph" w:styleId="Vrazncitt">
    <w:name w:val="Intense Quote"/>
    <w:basedOn w:val="Normln"/>
    <w:next w:val="Normln"/>
    <w:link w:val="VrazncittChar"/>
    <w:uiPriority w:val="30"/>
    <w:qFormat/>
    <w:rsid w:val="00C0370A"/>
    <w:pPr>
      <w:pBdr>
        <w:bottom w:val="single" w:sz="4" w:space="4" w:color="4F81BD" w:themeColor="accent1"/>
      </w:pBdr>
      <w:spacing w:before="200" w:after="280"/>
      <w:ind w:left="936" w:right="936"/>
      <w:jc w:val="left"/>
    </w:pPr>
    <w:rPr>
      <w:rFonts w:eastAsiaTheme="minorHAnsi" w:cstheme="minorBidi"/>
      <w:b/>
      <w:bCs/>
      <w:i/>
      <w:iCs/>
      <w:color w:val="4F81BD" w:themeColor="accent1"/>
      <w:sz w:val="22"/>
      <w:szCs w:val="22"/>
      <w:lang w:eastAsia="en-US"/>
    </w:rPr>
  </w:style>
  <w:style w:type="character" w:customStyle="1" w:styleId="VrazncittChar">
    <w:name w:val="Výrazný citát Char"/>
    <w:basedOn w:val="Standardnpsmoodstavce"/>
    <w:link w:val="Vrazncitt"/>
    <w:uiPriority w:val="30"/>
    <w:rsid w:val="00C0370A"/>
    <w:rPr>
      <w:b/>
      <w:bCs/>
      <w:i/>
      <w:iCs/>
      <w:color w:val="4F81BD" w:themeColor="accent1"/>
    </w:rPr>
  </w:style>
  <w:style w:type="character" w:styleId="Zdraznnjemn">
    <w:name w:val="Subtle Emphasis"/>
    <w:basedOn w:val="Standardnpsmoodstavce"/>
    <w:uiPriority w:val="19"/>
    <w:qFormat/>
    <w:rsid w:val="00C0370A"/>
    <w:rPr>
      <w:i/>
      <w:iCs/>
      <w:color w:val="808080" w:themeColor="text1" w:themeTint="7F"/>
    </w:rPr>
  </w:style>
  <w:style w:type="character" w:styleId="Zdraznnintenzivn">
    <w:name w:val="Intense Emphasis"/>
    <w:basedOn w:val="Standardnpsmoodstavce"/>
    <w:uiPriority w:val="21"/>
    <w:qFormat/>
    <w:rsid w:val="00C0370A"/>
    <w:rPr>
      <w:b/>
      <w:bCs/>
      <w:i/>
      <w:iCs/>
      <w:color w:val="4F81BD" w:themeColor="accent1"/>
    </w:rPr>
  </w:style>
  <w:style w:type="character" w:styleId="Odkazjemn">
    <w:name w:val="Subtle Reference"/>
    <w:basedOn w:val="Standardnpsmoodstavce"/>
    <w:uiPriority w:val="31"/>
    <w:qFormat/>
    <w:rsid w:val="00C0370A"/>
    <w:rPr>
      <w:smallCaps/>
      <w:color w:val="C0504D" w:themeColor="accent2"/>
      <w:u w:val="single"/>
    </w:rPr>
  </w:style>
  <w:style w:type="character" w:styleId="Odkazintenzivn">
    <w:name w:val="Intense Reference"/>
    <w:basedOn w:val="Standardnpsmoodstavce"/>
    <w:uiPriority w:val="32"/>
    <w:qFormat/>
    <w:rsid w:val="00C0370A"/>
    <w:rPr>
      <w:b/>
      <w:bCs/>
      <w:smallCaps/>
      <w:color w:val="C0504D" w:themeColor="accent2"/>
      <w:spacing w:val="5"/>
      <w:u w:val="single"/>
    </w:rPr>
  </w:style>
  <w:style w:type="character" w:styleId="Nzevknihy">
    <w:name w:val="Book Title"/>
    <w:basedOn w:val="Standardnpsmoodstavce"/>
    <w:uiPriority w:val="33"/>
    <w:qFormat/>
    <w:rsid w:val="00C0370A"/>
    <w:rPr>
      <w:b/>
      <w:bCs/>
      <w:smallCaps/>
      <w:spacing w:val="5"/>
    </w:rPr>
  </w:style>
  <w:style w:type="paragraph" w:styleId="Nadpisobsahu">
    <w:name w:val="TOC Heading"/>
    <w:basedOn w:val="Nadpis1"/>
    <w:next w:val="Normln"/>
    <w:uiPriority w:val="39"/>
    <w:unhideWhenUsed/>
    <w:qFormat/>
    <w:rsid w:val="00C0370A"/>
    <w:pPr>
      <w:outlineLvl w:val="9"/>
    </w:pPr>
  </w:style>
  <w:style w:type="paragraph" w:styleId="Textbubliny">
    <w:name w:val="Balloon Text"/>
    <w:basedOn w:val="Normln"/>
    <w:link w:val="TextbublinyChar"/>
    <w:uiPriority w:val="99"/>
    <w:semiHidden/>
    <w:unhideWhenUsed/>
    <w:rsid w:val="006B5A3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5A30"/>
    <w:rPr>
      <w:rFonts w:ascii="Tahoma" w:eastAsia="Times New Roman" w:hAnsi="Tahoma" w:cs="Tahoma"/>
      <w:sz w:val="16"/>
      <w:szCs w:val="16"/>
      <w:lang w:eastAsia="cs-CZ"/>
    </w:rPr>
  </w:style>
  <w:style w:type="paragraph" w:styleId="Zkladntext">
    <w:name w:val="Body Text"/>
    <w:basedOn w:val="Normln"/>
    <w:link w:val="ZkladntextChar"/>
    <w:rsid w:val="006B5A30"/>
  </w:style>
  <w:style w:type="character" w:customStyle="1" w:styleId="ZkladntextChar">
    <w:name w:val="Základní text Char"/>
    <w:basedOn w:val="Standardnpsmoodstavce"/>
    <w:link w:val="Zkladntext"/>
    <w:rsid w:val="006B5A30"/>
    <w:rPr>
      <w:rFonts w:eastAsia="Times New Roman" w:cs="Times New Roman"/>
      <w:sz w:val="24"/>
      <w:szCs w:val="20"/>
      <w:lang w:eastAsia="cs-CZ"/>
    </w:rPr>
  </w:style>
  <w:style w:type="paragraph" w:customStyle="1" w:styleId="odstavec">
    <w:name w:val="odstavec"/>
    <w:basedOn w:val="Normln"/>
    <w:link w:val="odstavecChar"/>
    <w:qFormat/>
    <w:rsid w:val="006B5A30"/>
    <w:pPr>
      <w:ind w:left="284"/>
    </w:pPr>
  </w:style>
  <w:style w:type="character" w:customStyle="1" w:styleId="odstavecChar">
    <w:name w:val="odstavec Char"/>
    <w:basedOn w:val="Standardnpsmoodstavce"/>
    <w:link w:val="odstavec"/>
    <w:rsid w:val="006B5A30"/>
    <w:rPr>
      <w:rFonts w:eastAsia="Times New Roman" w:cs="Times New Roman"/>
      <w:sz w:val="24"/>
      <w:szCs w:val="20"/>
      <w:lang w:eastAsia="cs-CZ"/>
    </w:rPr>
  </w:style>
  <w:style w:type="paragraph" w:styleId="Zhlav">
    <w:name w:val="header"/>
    <w:basedOn w:val="Normln"/>
    <w:link w:val="ZhlavChar"/>
    <w:uiPriority w:val="99"/>
    <w:unhideWhenUsed/>
    <w:rsid w:val="004B7849"/>
    <w:pPr>
      <w:tabs>
        <w:tab w:val="center" w:pos="4536"/>
        <w:tab w:val="right" w:pos="9072"/>
      </w:tabs>
      <w:spacing w:line="240" w:lineRule="auto"/>
    </w:pPr>
  </w:style>
  <w:style w:type="character" w:customStyle="1" w:styleId="ZhlavChar">
    <w:name w:val="Záhlaví Char"/>
    <w:basedOn w:val="Standardnpsmoodstavce"/>
    <w:link w:val="Zhlav"/>
    <w:uiPriority w:val="99"/>
    <w:rsid w:val="004B7849"/>
    <w:rPr>
      <w:rFonts w:eastAsia="Times New Roman" w:cs="Times New Roman"/>
      <w:sz w:val="24"/>
      <w:szCs w:val="20"/>
      <w:lang w:eastAsia="cs-CZ"/>
    </w:rPr>
  </w:style>
  <w:style w:type="paragraph" w:styleId="Zpat">
    <w:name w:val="footer"/>
    <w:basedOn w:val="Normln"/>
    <w:link w:val="ZpatChar"/>
    <w:uiPriority w:val="99"/>
    <w:unhideWhenUsed/>
    <w:rsid w:val="004B7849"/>
    <w:pPr>
      <w:tabs>
        <w:tab w:val="center" w:pos="4536"/>
        <w:tab w:val="right" w:pos="9072"/>
      </w:tabs>
      <w:spacing w:line="240" w:lineRule="auto"/>
    </w:pPr>
  </w:style>
  <w:style w:type="character" w:customStyle="1" w:styleId="ZpatChar">
    <w:name w:val="Zápatí Char"/>
    <w:basedOn w:val="Standardnpsmoodstavce"/>
    <w:link w:val="Zpat"/>
    <w:uiPriority w:val="99"/>
    <w:rsid w:val="004B7849"/>
    <w:rPr>
      <w:rFonts w:eastAsia="Times New Roman" w:cs="Times New Roman"/>
      <w:sz w:val="24"/>
      <w:szCs w:val="20"/>
      <w:lang w:eastAsia="cs-CZ"/>
    </w:rPr>
  </w:style>
  <w:style w:type="paragraph" w:styleId="Obsah1">
    <w:name w:val="toc 1"/>
    <w:basedOn w:val="Normln"/>
    <w:next w:val="Normln"/>
    <w:autoRedefine/>
    <w:uiPriority w:val="39"/>
    <w:unhideWhenUsed/>
    <w:qFormat/>
    <w:rsid w:val="00D55972"/>
    <w:pPr>
      <w:tabs>
        <w:tab w:val="left" w:pos="284"/>
        <w:tab w:val="right" w:leader="dot" w:pos="9062"/>
      </w:tabs>
      <w:spacing w:line="240" w:lineRule="auto"/>
    </w:pPr>
    <w:rPr>
      <w:rFonts w:eastAsiaTheme="majorEastAsia"/>
      <w:noProof/>
      <w:sz w:val="20"/>
    </w:rPr>
  </w:style>
  <w:style w:type="paragraph" w:styleId="Obsah2">
    <w:name w:val="toc 2"/>
    <w:basedOn w:val="Normln"/>
    <w:next w:val="Normln"/>
    <w:autoRedefine/>
    <w:uiPriority w:val="39"/>
    <w:unhideWhenUsed/>
    <w:qFormat/>
    <w:rsid w:val="004B53E2"/>
    <w:pPr>
      <w:tabs>
        <w:tab w:val="right" w:leader="dot" w:pos="9062"/>
      </w:tabs>
      <w:spacing w:line="240" w:lineRule="auto"/>
      <w:ind w:left="851" w:hanging="567"/>
    </w:pPr>
    <w:rPr>
      <w:rFonts w:ascii="Times New Roman" w:eastAsiaTheme="majorEastAsia" w:hAnsi="Times New Roman"/>
      <w:noProof/>
      <w:sz w:val="20"/>
    </w:rPr>
  </w:style>
  <w:style w:type="paragraph" w:styleId="Obsah3">
    <w:name w:val="toc 3"/>
    <w:basedOn w:val="Normln"/>
    <w:next w:val="Normln"/>
    <w:autoRedefine/>
    <w:uiPriority w:val="39"/>
    <w:unhideWhenUsed/>
    <w:qFormat/>
    <w:rsid w:val="0046190C"/>
    <w:pPr>
      <w:spacing w:after="100"/>
      <w:ind w:left="480"/>
    </w:pPr>
  </w:style>
  <w:style w:type="character" w:styleId="Hypertextovodkaz">
    <w:name w:val="Hyperlink"/>
    <w:basedOn w:val="Standardnpsmoodstavce"/>
    <w:uiPriority w:val="99"/>
    <w:unhideWhenUsed/>
    <w:rsid w:val="0046190C"/>
    <w:rPr>
      <w:color w:val="0000FF" w:themeColor="hyperlink"/>
      <w:u w:val="single"/>
    </w:rPr>
  </w:style>
  <w:style w:type="paragraph" w:styleId="Zkladntext2">
    <w:name w:val="Body Text 2"/>
    <w:basedOn w:val="Normln"/>
    <w:link w:val="Zkladntext2Char"/>
    <w:uiPriority w:val="99"/>
    <w:semiHidden/>
    <w:unhideWhenUsed/>
    <w:rsid w:val="00967348"/>
    <w:pPr>
      <w:spacing w:after="120" w:line="480" w:lineRule="auto"/>
    </w:pPr>
  </w:style>
  <w:style w:type="character" w:customStyle="1" w:styleId="Zkladntext2Char">
    <w:name w:val="Základní text 2 Char"/>
    <w:basedOn w:val="Standardnpsmoodstavce"/>
    <w:link w:val="Zkladntext2"/>
    <w:uiPriority w:val="99"/>
    <w:semiHidden/>
    <w:rsid w:val="00967348"/>
    <w:rPr>
      <w:rFonts w:eastAsia="Times New Roman" w:cs="Times New Roman"/>
      <w:sz w:val="24"/>
      <w:szCs w:val="20"/>
      <w:lang w:eastAsia="cs-CZ"/>
    </w:rPr>
  </w:style>
  <w:style w:type="paragraph" w:styleId="Zkladntext3">
    <w:name w:val="Body Text 3"/>
    <w:basedOn w:val="Normln"/>
    <w:link w:val="Zkladntext3Char"/>
    <w:uiPriority w:val="99"/>
    <w:semiHidden/>
    <w:unhideWhenUsed/>
    <w:rsid w:val="00967348"/>
    <w:pPr>
      <w:spacing w:after="120"/>
    </w:pPr>
    <w:rPr>
      <w:sz w:val="16"/>
      <w:szCs w:val="16"/>
    </w:rPr>
  </w:style>
  <w:style w:type="character" w:customStyle="1" w:styleId="Zkladntext3Char">
    <w:name w:val="Základní text 3 Char"/>
    <w:basedOn w:val="Standardnpsmoodstavce"/>
    <w:link w:val="Zkladntext3"/>
    <w:uiPriority w:val="99"/>
    <w:semiHidden/>
    <w:rsid w:val="00967348"/>
    <w:rPr>
      <w:rFonts w:eastAsia="Times New Roman" w:cs="Times New Roman"/>
      <w:sz w:val="16"/>
      <w:szCs w:val="16"/>
      <w:lang w:eastAsia="cs-CZ"/>
    </w:rPr>
  </w:style>
  <w:style w:type="paragraph" w:styleId="slovanseznam3">
    <w:name w:val="List Number 3"/>
    <w:basedOn w:val="Normln"/>
    <w:unhideWhenUsed/>
    <w:rsid w:val="00CC5CCC"/>
    <w:pPr>
      <w:numPr>
        <w:numId w:val="11"/>
      </w:numPr>
      <w:spacing w:line="240" w:lineRule="auto"/>
      <w:jc w:val="left"/>
    </w:pPr>
    <w:rPr>
      <w:rFonts w:ascii="Times New Roman" w:hAnsi="Times New Roman"/>
      <w:szCs w:val="24"/>
    </w:rPr>
  </w:style>
  <w:style w:type="table" w:styleId="Mkatabulky">
    <w:name w:val="Table Grid"/>
    <w:basedOn w:val="Normlntabulka"/>
    <w:rsid w:val="00976FD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ruh">
    <w:name w:val="okruh"/>
    <w:qFormat/>
    <w:rsid w:val="004B53E2"/>
    <w:rPr>
      <w:rFonts w:ascii="Times New Roman" w:hAnsi="Times New Roman"/>
      <w:b/>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5A30"/>
    <w:pPr>
      <w:spacing w:after="0"/>
      <w:jc w:val="both"/>
    </w:pPr>
    <w:rPr>
      <w:rFonts w:eastAsia="Times New Roman" w:cs="Times New Roman"/>
      <w:sz w:val="24"/>
      <w:szCs w:val="20"/>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C0370A"/>
    <w:pPr>
      <w:keepNext/>
      <w:keepLines/>
      <w:spacing w:before="480"/>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
    <w:unhideWhenUsed/>
    <w:qFormat/>
    <w:rsid w:val="004B53E2"/>
    <w:pPr>
      <w:keepNext/>
      <w:keepLines/>
      <w:spacing w:before="200"/>
      <w:jc w:val="left"/>
      <w:outlineLvl w:val="1"/>
    </w:pPr>
    <w:rPr>
      <w:rFonts w:ascii="Times New Roman" w:eastAsiaTheme="majorEastAsia" w:hAnsi="Times New Roman" w:cstheme="majorBidi"/>
      <w:b/>
      <w:bCs/>
      <w:sz w:val="26"/>
      <w:szCs w:val="26"/>
      <w:lang w:eastAsia="en-US"/>
    </w:rPr>
  </w:style>
  <w:style w:type="paragraph" w:styleId="Nadpis3">
    <w:name w:val="heading 3"/>
    <w:basedOn w:val="Normln"/>
    <w:next w:val="Normln"/>
    <w:link w:val="Nadpis3Char"/>
    <w:uiPriority w:val="9"/>
    <w:unhideWhenUsed/>
    <w:qFormat/>
    <w:rsid w:val="004B53E2"/>
    <w:pPr>
      <w:keepNext/>
      <w:keepLines/>
      <w:spacing w:before="200"/>
      <w:jc w:val="left"/>
      <w:outlineLvl w:val="2"/>
    </w:pPr>
    <w:rPr>
      <w:rFonts w:ascii="Times New Roman" w:eastAsiaTheme="majorEastAsia" w:hAnsi="Times New Roman" w:cstheme="majorBidi"/>
      <w:b/>
      <w:bCs/>
      <w:sz w:val="26"/>
      <w:szCs w:val="22"/>
      <w:lang w:eastAsia="en-US"/>
    </w:rPr>
  </w:style>
  <w:style w:type="paragraph" w:styleId="Nadpis4">
    <w:name w:val="heading 4"/>
    <w:basedOn w:val="Normln"/>
    <w:next w:val="Normln"/>
    <w:link w:val="Nadpis4Char"/>
    <w:uiPriority w:val="9"/>
    <w:unhideWhenUsed/>
    <w:qFormat/>
    <w:rsid w:val="00C0370A"/>
    <w:pPr>
      <w:keepNext/>
      <w:keepLines/>
      <w:spacing w:before="200"/>
      <w:jc w:val="left"/>
      <w:outlineLvl w:val="3"/>
    </w:pPr>
    <w:rPr>
      <w:rFonts w:asciiTheme="majorHAnsi" w:eastAsiaTheme="majorEastAsia" w:hAnsiTheme="majorHAnsi" w:cstheme="majorBidi"/>
      <w:b/>
      <w:bCs/>
      <w:i/>
      <w:iCs/>
      <w:color w:val="4F81BD" w:themeColor="accent1"/>
      <w:sz w:val="22"/>
      <w:szCs w:val="22"/>
      <w:lang w:eastAsia="en-US"/>
    </w:rPr>
  </w:style>
  <w:style w:type="paragraph" w:styleId="Nadpis5">
    <w:name w:val="heading 5"/>
    <w:basedOn w:val="Normln"/>
    <w:next w:val="Normln"/>
    <w:link w:val="Nadpis5Char"/>
    <w:uiPriority w:val="9"/>
    <w:semiHidden/>
    <w:unhideWhenUsed/>
    <w:qFormat/>
    <w:rsid w:val="00C0370A"/>
    <w:pPr>
      <w:keepNext/>
      <w:keepLines/>
      <w:spacing w:before="200"/>
      <w:jc w:val="left"/>
      <w:outlineLvl w:val="4"/>
    </w:pPr>
    <w:rPr>
      <w:rFonts w:asciiTheme="majorHAnsi" w:eastAsiaTheme="majorEastAsia" w:hAnsiTheme="majorHAnsi" w:cstheme="majorBidi"/>
      <w:color w:val="243F60" w:themeColor="accent1" w:themeShade="7F"/>
      <w:sz w:val="22"/>
      <w:szCs w:val="22"/>
      <w:lang w:eastAsia="en-US"/>
    </w:rPr>
  </w:style>
  <w:style w:type="paragraph" w:styleId="Nadpis6">
    <w:name w:val="heading 6"/>
    <w:basedOn w:val="Normln"/>
    <w:next w:val="Normln"/>
    <w:link w:val="Nadpis6Char"/>
    <w:uiPriority w:val="9"/>
    <w:semiHidden/>
    <w:unhideWhenUsed/>
    <w:qFormat/>
    <w:rsid w:val="00C0370A"/>
    <w:pPr>
      <w:keepNext/>
      <w:keepLines/>
      <w:spacing w:before="200"/>
      <w:jc w:val="left"/>
      <w:outlineLvl w:val="5"/>
    </w:pPr>
    <w:rPr>
      <w:rFonts w:asciiTheme="majorHAnsi" w:eastAsiaTheme="majorEastAsia" w:hAnsiTheme="majorHAnsi" w:cstheme="majorBidi"/>
      <w:i/>
      <w:iCs/>
      <w:color w:val="243F60" w:themeColor="accent1" w:themeShade="7F"/>
      <w:sz w:val="22"/>
      <w:szCs w:val="22"/>
      <w:lang w:eastAsia="en-US"/>
    </w:rPr>
  </w:style>
  <w:style w:type="paragraph" w:styleId="Nadpis7">
    <w:name w:val="heading 7"/>
    <w:basedOn w:val="Normln"/>
    <w:next w:val="Normln"/>
    <w:link w:val="Nadpis7Char"/>
    <w:uiPriority w:val="9"/>
    <w:semiHidden/>
    <w:unhideWhenUsed/>
    <w:qFormat/>
    <w:rsid w:val="00C0370A"/>
    <w:pPr>
      <w:keepNext/>
      <w:keepLines/>
      <w:spacing w:before="200"/>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0370A"/>
    <w:pPr>
      <w:keepNext/>
      <w:keepLines/>
      <w:spacing w:before="200"/>
      <w:jc w:val="left"/>
      <w:outlineLvl w:val="7"/>
    </w:pPr>
    <w:rPr>
      <w:rFonts w:asciiTheme="majorHAnsi" w:eastAsiaTheme="majorEastAsia" w:hAnsiTheme="majorHAnsi" w:cstheme="majorBidi"/>
      <w:color w:val="4F81BD" w:themeColor="accent1"/>
      <w:sz w:val="20"/>
      <w:lang w:eastAsia="en-US"/>
    </w:rPr>
  </w:style>
  <w:style w:type="paragraph" w:styleId="Nadpis9">
    <w:name w:val="heading 9"/>
    <w:basedOn w:val="Normln"/>
    <w:next w:val="Normln"/>
    <w:link w:val="Nadpis9Char"/>
    <w:uiPriority w:val="9"/>
    <w:semiHidden/>
    <w:unhideWhenUsed/>
    <w:qFormat/>
    <w:rsid w:val="00C0370A"/>
    <w:pPr>
      <w:keepNext/>
      <w:keepLines/>
      <w:spacing w:before="200"/>
      <w:jc w:val="left"/>
      <w:outlineLvl w:val="8"/>
    </w:pPr>
    <w:rPr>
      <w:rFonts w:asciiTheme="majorHAnsi" w:eastAsiaTheme="majorEastAsia" w:hAnsiTheme="majorHAnsi" w:cstheme="majorBidi"/>
      <w:i/>
      <w:iCs/>
      <w:color w:val="404040" w:themeColor="text1" w:themeTint="BF"/>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C0370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4B53E2"/>
    <w:rPr>
      <w:rFonts w:ascii="Times New Roman" w:eastAsiaTheme="majorEastAsia" w:hAnsi="Times New Roman" w:cstheme="majorBidi"/>
      <w:b/>
      <w:bCs/>
      <w:sz w:val="26"/>
      <w:szCs w:val="26"/>
    </w:rPr>
  </w:style>
  <w:style w:type="character" w:customStyle="1" w:styleId="Nadpis3Char">
    <w:name w:val="Nadpis 3 Char"/>
    <w:basedOn w:val="Standardnpsmoodstavce"/>
    <w:link w:val="Nadpis3"/>
    <w:uiPriority w:val="9"/>
    <w:rsid w:val="004B53E2"/>
    <w:rPr>
      <w:rFonts w:ascii="Times New Roman" w:eastAsiaTheme="majorEastAsia" w:hAnsi="Times New Roman" w:cstheme="majorBidi"/>
      <w:b/>
      <w:bCs/>
      <w:sz w:val="26"/>
    </w:rPr>
  </w:style>
  <w:style w:type="character" w:customStyle="1" w:styleId="Nadpis4Char">
    <w:name w:val="Nadpis 4 Char"/>
    <w:basedOn w:val="Standardnpsmoodstavce"/>
    <w:link w:val="Nadpis4"/>
    <w:uiPriority w:val="9"/>
    <w:rsid w:val="00C0370A"/>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C0370A"/>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C0370A"/>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C0370A"/>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C0370A"/>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C0370A"/>
    <w:rPr>
      <w:rFonts w:asciiTheme="majorHAnsi" w:eastAsiaTheme="majorEastAsia" w:hAnsiTheme="majorHAnsi" w:cstheme="majorBidi"/>
      <w:i/>
      <w:iCs/>
      <w:color w:val="404040" w:themeColor="text1" w:themeTint="BF"/>
      <w:sz w:val="20"/>
      <w:szCs w:val="20"/>
    </w:rPr>
  </w:style>
  <w:style w:type="paragraph" w:customStyle="1" w:styleId="Styl1">
    <w:name w:val="Styl1"/>
    <w:basedOn w:val="Nadpis2"/>
    <w:qFormat/>
    <w:rsid w:val="00C0370A"/>
  </w:style>
  <w:style w:type="paragraph" w:styleId="Titulek">
    <w:name w:val="caption"/>
    <w:basedOn w:val="Normln"/>
    <w:next w:val="Normln"/>
    <w:uiPriority w:val="35"/>
    <w:semiHidden/>
    <w:unhideWhenUsed/>
    <w:qFormat/>
    <w:rsid w:val="00C0370A"/>
    <w:pPr>
      <w:spacing w:after="200" w:line="240" w:lineRule="auto"/>
      <w:jc w:val="left"/>
    </w:pPr>
    <w:rPr>
      <w:rFonts w:eastAsiaTheme="minorHAnsi" w:cstheme="minorBidi"/>
      <w:b/>
      <w:bCs/>
      <w:color w:val="4F81BD" w:themeColor="accent1"/>
      <w:sz w:val="18"/>
      <w:szCs w:val="18"/>
      <w:lang w:eastAsia="en-US"/>
    </w:rPr>
  </w:style>
  <w:style w:type="paragraph" w:styleId="Nzev">
    <w:name w:val="Title"/>
    <w:basedOn w:val="Normln"/>
    <w:next w:val="Normln"/>
    <w:link w:val="NzevChar"/>
    <w:qFormat/>
    <w:rsid w:val="00C0370A"/>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basedOn w:val="Standardnpsmoodstavce"/>
    <w:link w:val="Nzev"/>
    <w:rsid w:val="00C0370A"/>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C0370A"/>
    <w:pPr>
      <w:numPr>
        <w:ilvl w:val="1"/>
      </w:numPr>
      <w:spacing w:after="200"/>
      <w:jc w:val="left"/>
    </w:pPr>
    <w:rPr>
      <w:rFonts w:asciiTheme="majorHAnsi" w:eastAsiaTheme="majorEastAsia" w:hAnsiTheme="majorHAnsi" w:cstheme="majorBidi"/>
      <w:i/>
      <w:iCs/>
      <w:color w:val="4F81BD" w:themeColor="accent1"/>
      <w:spacing w:val="15"/>
      <w:szCs w:val="24"/>
      <w:lang w:eastAsia="en-US"/>
    </w:rPr>
  </w:style>
  <w:style w:type="character" w:customStyle="1" w:styleId="PodtitulChar">
    <w:name w:val="Podtitul Char"/>
    <w:basedOn w:val="Standardnpsmoodstavce"/>
    <w:link w:val="Podtitul"/>
    <w:uiPriority w:val="11"/>
    <w:rsid w:val="00C0370A"/>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C0370A"/>
    <w:rPr>
      <w:b/>
      <w:bCs/>
    </w:rPr>
  </w:style>
  <w:style w:type="character" w:styleId="Zvraznn">
    <w:name w:val="Emphasis"/>
    <w:basedOn w:val="Standardnpsmoodstavce"/>
    <w:uiPriority w:val="20"/>
    <w:qFormat/>
    <w:rsid w:val="00C0370A"/>
    <w:rPr>
      <w:i/>
      <w:iCs/>
    </w:rPr>
  </w:style>
  <w:style w:type="paragraph" w:styleId="Bezmezer">
    <w:name w:val="No Spacing"/>
    <w:link w:val="BezmezerChar"/>
    <w:uiPriority w:val="1"/>
    <w:qFormat/>
    <w:rsid w:val="00C0370A"/>
    <w:pPr>
      <w:spacing w:after="0" w:line="240" w:lineRule="auto"/>
    </w:pPr>
  </w:style>
  <w:style w:type="character" w:customStyle="1" w:styleId="BezmezerChar">
    <w:name w:val="Bez mezer Char"/>
    <w:basedOn w:val="Standardnpsmoodstavce"/>
    <w:link w:val="Bezmezer"/>
    <w:uiPriority w:val="1"/>
    <w:rsid w:val="00C0370A"/>
  </w:style>
  <w:style w:type="paragraph" w:styleId="Odstavecseseznamem">
    <w:name w:val="List Paragraph"/>
    <w:basedOn w:val="Normln"/>
    <w:link w:val="OdstavecseseznamemChar"/>
    <w:uiPriority w:val="34"/>
    <w:qFormat/>
    <w:rsid w:val="00C0370A"/>
    <w:pPr>
      <w:spacing w:after="200"/>
      <w:ind w:left="720"/>
      <w:contextualSpacing/>
      <w:jc w:val="left"/>
    </w:pPr>
    <w:rPr>
      <w:rFonts w:eastAsiaTheme="minorHAnsi" w:cstheme="minorBidi"/>
      <w:sz w:val="22"/>
      <w:szCs w:val="22"/>
      <w:lang w:eastAsia="en-US"/>
    </w:rPr>
  </w:style>
  <w:style w:type="character" w:customStyle="1" w:styleId="OdstavecseseznamemChar">
    <w:name w:val="Odstavec se seznamem Char"/>
    <w:basedOn w:val="Standardnpsmoodstavce"/>
    <w:link w:val="Odstavecseseznamem"/>
    <w:uiPriority w:val="34"/>
    <w:locked/>
    <w:rsid w:val="00DC721B"/>
  </w:style>
  <w:style w:type="paragraph" w:styleId="Citt">
    <w:name w:val="Quote"/>
    <w:basedOn w:val="Normln"/>
    <w:next w:val="Normln"/>
    <w:link w:val="CittChar"/>
    <w:uiPriority w:val="29"/>
    <w:qFormat/>
    <w:rsid w:val="00C0370A"/>
    <w:pPr>
      <w:spacing w:after="200"/>
      <w:jc w:val="left"/>
    </w:pPr>
    <w:rPr>
      <w:rFonts w:eastAsiaTheme="minorHAnsi" w:cstheme="minorBidi"/>
      <w:i/>
      <w:iCs/>
      <w:color w:val="000000" w:themeColor="text1"/>
      <w:sz w:val="22"/>
      <w:szCs w:val="22"/>
      <w:lang w:eastAsia="en-US"/>
    </w:rPr>
  </w:style>
  <w:style w:type="character" w:customStyle="1" w:styleId="CittChar">
    <w:name w:val="Citát Char"/>
    <w:basedOn w:val="Standardnpsmoodstavce"/>
    <w:link w:val="Citt"/>
    <w:uiPriority w:val="29"/>
    <w:rsid w:val="00C0370A"/>
    <w:rPr>
      <w:i/>
      <w:iCs/>
      <w:color w:val="000000" w:themeColor="text1"/>
    </w:rPr>
  </w:style>
  <w:style w:type="paragraph" w:styleId="Vrazncitt">
    <w:name w:val="Intense Quote"/>
    <w:basedOn w:val="Normln"/>
    <w:next w:val="Normln"/>
    <w:link w:val="VrazncittChar"/>
    <w:uiPriority w:val="30"/>
    <w:qFormat/>
    <w:rsid w:val="00C0370A"/>
    <w:pPr>
      <w:pBdr>
        <w:bottom w:val="single" w:sz="4" w:space="4" w:color="4F81BD" w:themeColor="accent1"/>
      </w:pBdr>
      <w:spacing w:before="200" w:after="280"/>
      <w:ind w:left="936" w:right="936"/>
      <w:jc w:val="left"/>
    </w:pPr>
    <w:rPr>
      <w:rFonts w:eastAsiaTheme="minorHAnsi" w:cstheme="minorBidi"/>
      <w:b/>
      <w:bCs/>
      <w:i/>
      <w:iCs/>
      <w:color w:val="4F81BD" w:themeColor="accent1"/>
      <w:sz w:val="22"/>
      <w:szCs w:val="22"/>
      <w:lang w:eastAsia="en-US"/>
    </w:rPr>
  </w:style>
  <w:style w:type="character" w:customStyle="1" w:styleId="VrazncittChar">
    <w:name w:val="Výrazný citát Char"/>
    <w:basedOn w:val="Standardnpsmoodstavce"/>
    <w:link w:val="Vrazncitt"/>
    <w:uiPriority w:val="30"/>
    <w:rsid w:val="00C0370A"/>
    <w:rPr>
      <w:b/>
      <w:bCs/>
      <w:i/>
      <w:iCs/>
      <w:color w:val="4F81BD" w:themeColor="accent1"/>
    </w:rPr>
  </w:style>
  <w:style w:type="character" w:styleId="Zdraznnjemn">
    <w:name w:val="Subtle Emphasis"/>
    <w:basedOn w:val="Standardnpsmoodstavce"/>
    <w:uiPriority w:val="19"/>
    <w:qFormat/>
    <w:rsid w:val="00C0370A"/>
    <w:rPr>
      <w:i/>
      <w:iCs/>
      <w:color w:val="808080" w:themeColor="text1" w:themeTint="7F"/>
    </w:rPr>
  </w:style>
  <w:style w:type="character" w:styleId="Zdraznnintenzivn">
    <w:name w:val="Intense Emphasis"/>
    <w:basedOn w:val="Standardnpsmoodstavce"/>
    <w:uiPriority w:val="21"/>
    <w:qFormat/>
    <w:rsid w:val="00C0370A"/>
    <w:rPr>
      <w:b/>
      <w:bCs/>
      <w:i/>
      <w:iCs/>
      <w:color w:val="4F81BD" w:themeColor="accent1"/>
    </w:rPr>
  </w:style>
  <w:style w:type="character" w:styleId="Odkazjemn">
    <w:name w:val="Subtle Reference"/>
    <w:basedOn w:val="Standardnpsmoodstavce"/>
    <w:uiPriority w:val="31"/>
    <w:qFormat/>
    <w:rsid w:val="00C0370A"/>
    <w:rPr>
      <w:smallCaps/>
      <w:color w:val="C0504D" w:themeColor="accent2"/>
      <w:u w:val="single"/>
    </w:rPr>
  </w:style>
  <w:style w:type="character" w:styleId="Odkazintenzivn">
    <w:name w:val="Intense Reference"/>
    <w:basedOn w:val="Standardnpsmoodstavce"/>
    <w:uiPriority w:val="32"/>
    <w:qFormat/>
    <w:rsid w:val="00C0370A"/>
    <w:rPr>
      <w:b/>
      <w:bCs/>
      <w:smallCaps/>
      <w:color w:val="C0504D" w:themeColor="accent2"/>
      <w:spacing w:val="5"/>
      <w:u w:val="single"/>
    </w:rPr>
  </w:style>
  <w:style w:type="character" w:styleId="Nzevknihy">
    <w:name w:val="Book Title"/>
    <w:basedOn w:val="Standardnpsmoodstavce"/>
    <w:uiPriority w:val="33"/>
    <w:qFormat/>
    <w:rsid w:val="00C0370A"/>
    <w:rPr>
      <w:b/>
      <w:bCs/>
      <w:smallCaps/>
      <w:spacing w:val="5"/>
    </w:rPr>
  </w:style>
  <w:style w:type="paragraph" w:styleId="Nadpisobsahu">
    <w:name w:val="TOC Heading"/>
    <w:basedOn w:val="Nadpis1"/>
    <w:next w:val="Normln"/>
    <w:uiPriority w:val="39"/>
    <w:unhideWhenUsed/>
    <w:qFormat/>
    <w:rsid w:val="00C0370A"/>
    <w:pPr>
      <w:outlineLvl w:val="9"/>
    </w:pPr>
  </w:style>
  <w:style w:type="paragraph" w:styleId="Textbubliny">
    <w:name w:val="Balloon Text"/>
    <w:basedOn w:val="Normln"/>
    <w:link w:val="TextbublinyChar"/>
    <w:uiPriority w:val="99"/>
    <w:semiHidden/>
    <w:unhideWhenUsed/>
    <w:rsid w:val="006B5A3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5A30"/>
    <w:rPr>
      <w:rFonts w:ascii="Tahoma" w:eastAsia="Times New Roman" w:hAnsi="Tahoma" w:cs="Tahoma"/>
      <w:sz w:val="16"/>
      <w:szCs w:val="16"/>
      <w:lang w:eastAsia="cs-CZ"/>
    </w:rPr>
  </w:style>
  <w:style w:type="paragraph" w:styleId="Zkladntext">
    <w:name w:val="Body Text"/>
    <w:basedOn w:val="Normln"/>
    <w:link w:val="ZkladntextChar"/>
    <w:rsid w:val="006B5A30"/>
  </w:style>
  <w:style w:type="character" w:customStyle="1" w:styleId="ZkladntextChar">
    <w:name w:val="Základní text Char"/>
    <w:basedOn w:val="Standardnpsmoodstavce"/>
    <w:link w:val="Zkladntext"/>
    <w:rsid w:val="006B5A30"/>
    <w:rPr>
      <w:rFonts w:eastAsia="Times New Roman" w:cs="Times New Roman"/>
      <w:sz w:val="24"/>
      <w:szCs w:val="20"/>
      <w:lang w:eastAsia="cs-CZ"/>
    </w:rPr>
  </w:style>
  <w:style w:type="paragraph" w:customStyle="1" w:styleId="odstavec">
    <w:name w:val="odstavec"/>
    <w:basedOn w:val="Normln"/>
    <w:link w:val="odstavecChar"/>
    <w:qFormat/>
    <w:rsid w:val="006B5A30"/>
    <w:pPr>
      <w:ind w:left="284"/>
    </w:pPr>
  </w:style>
  <w:style w:type="character" w:customStyle="1" w:styleId="odstavecChar">
    <w:name w:val="odstavec Char"/>
    <w:basedOn w:val="Standardnpsmoodstavce"/>
    <w:link w:val="odstavec"/>
    <w:rsid w:val="006B5A30"/>
    <w:rPr>
      <w:rFonts w:eastAsia="Times New Roman" w:cs="Times New Roman"/>
      <w:sz w:val="24"/>
      <w:szCs w:val="20"/>
      <w:lang w:eastAsia="cs-CZ"/>
    </w:rPr>
  </w:style>
  <w:style w:type="paragraph" w:styleId="Zhlav">
    <w:name w:val="header"/>
    <w:basedOn w:val="Normln"/>
    <w:link w:val="ZhlavChar"/>
    <w:uiPriority w:val="99"/>
    <w:unhideWhenUsed/>
    <w:rsid w:val="004B7849"/>
    <w:pPr>
      <w:tabs>
        <w:tab w:val="center" w:pos="4536"/>
        <w:tab w:val="right" w:pos="9072"/>
      </w:tabs>
      <w:spacing w:line="240" w:lineRule="auto"/>
    </w:pPr>
  </w:style>
  <w:style w:type="character" w:customStyle="1" w:styleId="ZhlavChar">
    <w:name w:val="Záhlaví Char"/>
    <w:basedOn w:val="Standardnpsmoodstavce"/>
    <w:link w:val="Zhlav"/>
    <w:uiPriority w:val="99"/>
    <w:rsid w:val="004B7849"/>
    <w:rPr>
      <w:rFonts w:eastAsia="Times New Roman" w:cs="Times New Roman"/>
      <w:sz w:val="24"/>
      <w:szCs w:val="20"/>
      <w:lang w:eastAsia="cs-CZ"/>
    </w:rPr>
  </w:style>
  <w:style w:type="paragraph" w:styleId="Zpat">
    <w:name w:val="footer"/>
    <w:basedOn w:val="Normln"/>
    <w:link w:val="ZpatChar"/>
    <w:uiPriority w:val="99"/>
    <w:unhideWhenUsed/>
    <w:rsid w:val="004B7849"/>
    <w:pPr>
      <w:tabs>
        <w:tab w:val="center" w:pos="4536"/>
        <w:tab w:val="right" w:pos="9072"/>
      </w:tabs>
      <w:spacing w:line="240" w:lineRule="auto"/>
    </w:pPr>
  </w:style>
  <w:style w:type="character" w:customStyle="1" w:styleId="ZpatChar">
    <w:name w:val="Zápatí Char"/>
    <w:basedOn w:val="Standardnpsmoodstavce"/>
    <w:link w:val="Zpat"/>
    <w:uiPriority w:val="99"/>
    <w:rsid w:val="004B7849"/>
    <w:rPr>
      <w:rFonts w:eastAsia="Times New Roman" w:cs="Times New Roman"/>
      <w:sz w:val="24"/>
      <w:szCs w:val="20"/>
      <w:lang w:eastAsia="cs-CZ"/>
    </w:rPr>
  </w:style>
  <w:style w:type="paragraph" w:styleId="Obsah1">
    <w:name w:val="toc 1"/>
    <w:basedOn w:val="Normln"/>
    <w:next w:val="Normln"/>
    <w:autoRedefine/>
    <w:uiPriority w:val="39"/>
    <w:unhideWhenUsed/>
    <w:qFormat/>
    <w:rsid w:val="00D55972"/>
    <w:pPr>
      <w:tabs>
        <w:tab w:val="left" w:pos="284"/>
        <w:tab w:val="right" w:leader="dot" w:pos="9062"/>
      </w:tabs>
      <w:spacing w:line="240" w:lineRule="auto"/>
    </w:pPr>
    <w:rPr>
      <w:rFonts w:eastAsiaTheme="majorEastAsia"/>
      <w:noProof/>
      <w:sz w:val="20"/>
    </w:rPr>
  </w:style>
  <w:style w:type="paragraph" w:styleId="Obsah2">
    <w:name w:val="toc 2"/>
    <w:basedOn w:val="Normln"/>
    <w:next w:val="Normln"/>
    <w:autoRedefine/>
    <w:uiPriority w:val="39"/>
    <w:unhideWhenUsed/>
    <w:qFormat/>
    <w:rsid w:val="004B53E2"/>
    <w:pPr>
      <w:tabs>
        <w:tab w:val="right" w:leader="dot" w:pos="9062"/>
      </w:tabs>
      <w:spacing w:line="240" w:lineRule="auto"/>
      <w:ind w:left="851" w:hanging="567"/>
    </w:pPr>
    <w:rPr>
      <w:rFonts w:ascii="Times New Roman" w:eastAsiaTheme="majorEastAsia" w:hAnsi="Times New Roman"/>
      <w:noProof/>
      <w:sz w:val="20"/>
    </w:rPr>
  </w:style>
  <w:style w:type="paragraph" w:styleId="Obsah3">
    <w:name w:val="toc 3"/>
    <w:basedOn w:val="Normln"/>
    <w:next w:val="Normln"/>
    <w:autoRedefine/>
    <w:uiPriority w:val="39"/>
    <w:unhideWhenUsed/>
    <w:qFormat/>
    <w:rsid w:val="0046190C"/>
    <w:pPr>
      <w:spacing w:after="100"/>
      <w:ind w:left="480"/>
    </w:pPr>
  </w:style>
  <w:style w:type="character" w:styleId="Hypertextovodkaz">
    <w:name w:val="Hyperlink"/>
    <w:basedOn w:val="Standardnpsmoodstavce"/>
    <w:uiPriority w:val="99"/>
    <w:unhideWhenUsed/>
    <w:rsid w:val="0046190C"/>
    <w:rPr>
      <w:color w:val="0000FF" w:themeColor="hyperlink"/>
      <w:u w:val="single"/>
    </w:rPr>
  </w:style>
  <w:style w:type="paragraph" w:styleId="Zkladntext2">
    <w:name w:val="Body Text 2"/>
    <w:basedOn w:val="Normln"/>
    <w:link w:val="Zkladntext2Char"/>
    <w:uiPriority w:val="99"/>
    <w:semiHidden/>
    <w:unhideWhenUsed/>
    <w:rsid w:val="00967348"/>
    <w:pPr>
      <w:spacing w:after="120" w:line="480" w:lineRule="auto"/>
    </w:pPr>
  </w:style>
  <w:style w:type="character" w:customStyle="1" w:styleId="Zkladntext2Char">
    <w:name w:val="Základní text 2 Char"/>
    <w:basedOn w:val="Standardnpsmoodstavce"/>
    <w:link w:val="Zkladntext2"/>
    <w:uiPriority w:val="99"/>
    <w:semiHidden/>
    <w:rsid w:val="00967348"/>
    <w:rPr>
      <w:rFonts w:eastAsia="Times New Roman" w:cs="Times New Roman"/>
      <w:sz w:val="24"/>
      <w:szCs w:val="20"/>
      <w:lang w:eastAsia="cs-CZ"/>
    </w:rPr>
  </w:style>
  <w:style w:type="paragraph" w:styleId="Zkladntext3">
    <w:name w:val="Body Text 3"/>
    <w:basedOn w:val="Normln"/>
    <w:link w:val="Zkladntext3Char"/>
    <w:uiPriority w:val="99"/>
    <w:semiHidden/>
    <w:unhideWhenUsed/>
    <w:rsid w:val="00967348"/>
    <w:pPr>
      <w:spacing w:after="120"/>
    </w:pPr>
    <w:rPr>
      <w:sz w:val="16"/>
      <w:szCs w:val="16"/>
    </w:rPr>
  </w:style>
  <w:style w:type="character" w:customStyle="1" w:styleId="Zkladntext3Char">
    <w:name w:val="Základní text 3 Char"/>
    <w:basedOn w:val="Standardnpsmoodstavce"/>
    <w:link w:val="Zkladntext3"/>
    <w:uiPriority w:val="99"/>
    <w:semiHidden/>
    <w:rsid w:val="00967348"/>
    <w:rPr>
      <w:rFonts w:eastAsia="Times New Roman" w:cs="Times New Roman"/>
      <w:sz w:val="16"/>
      <w:szCs w:val="16"/>
      <w:lang w:eastAsia="cs-CZ"/>
    </w:rPr>
  </w:style>
  <w:style w:type="paragraph" w:styleId="slovanseznam3">
    <w:name w:val="List Number 3"/>
    <w:basedOn w:val="Normln"/>
    <w:unhideWhenUsed/>
    <w:rsid w:val="00CC5CCC"/>
    <w:pPr>
      <w:numPr>
        <w:numId w:val="11"/>
      </w:numPr>
      <w:spacing w:line="240" w:lineRule="auto"/>
      <w:jc w:val="left"/>
    </w:pPr>
    <w:rPr>
      <w:rFonts w:ascii="Times New Roman" w:hAnsi="Times New Roman"/>
      <w:szCs w:val="24"/>
    </w:rPr>
  </w:style>
  <w:style w:type="table" w:styleId="Mkatabulky">
    <w:name w:val="Table Grid"/>
    <w:basedOn w:val="Normlntabulka"/>
    <w:rsid w:val="00976FD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ruh">
    <w:name w:val="okruh"/>
    <w:qFormat/>
    <w:rsid w:val="004B53E2"/>
    <w:rPr>
      <w:rFonts w:ascii="Times New Roman" w:hAnsi="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965">
      <w:bodyDiv w:val="1"/>
      <w:marLeft w:val="0"/>
      <w:marRight w:val="0"/>
      <w:marTop w:val="0"/>
      <w:marBottom w:val="0"/>
      <w:divBdr>
        <w:top w:val="none" w:sz="0" w:space="0" w:color="auto"/>
        <w:left w:val="none" w:sz="0" w:space="0" w:color="auto"/>
        <w:bottom w:val="none" w:sz="0" w:space="0" w:color="auto"/>
        <w:right w:val="none" w:sz="0" w:space="0" w:color="auto"/>
      </w:divBdr>
    </w:div>
    <w:div w:id="22904395">
      <w:bodyDiv w:val="1"/>
      <w:marLeft w:val="0"/>
      <w:marRight w:val="0"/>
      <w:marTop w:val="0"/>
      <w:marBottom w:val="0"/>
      <w:divBdr>
        <w:top w:val="none" w:sz="0" w:space="0" w:color="auto"/>
        <w:left w:val="none" w:sz="0" w:space="0" w:color="auto"/>
        <w:bottom w:val="none" w:sz="0" w:space="0" w:color="auto"/>
        <w:right w:val="none" w:sz="0" w:space="0" w:color="auto"/>
      </w:divBdr>
    </w:div>
    <w:div w:id="144863275">
      <w:bodyDiv w:val="1"/>
      <w:marLeft w:val="0"/>
      <w:marRight w:val="0"/>
      <w:marTop w:val="0"/>
      <w:marBottom w:val="0"/>
      <w:divBdr>
        <w:top w:val="none" w:sz="0" w:space="0" w:color="auto"/>
        <w:left w:val="none" w:sz="0" w:space="0" w:color="auto"/>
        <w:bottom w:val="none" w:sz="0" w:space="0" w:color="auto"/>
        <w:right w:val="none" w:sz="0" w:space="0" w:color="auto"/>
      </w:divBdr>
    </w:div>
    <w:div w:id="148254892">
      <w:bodyDiv w:val="1"/>
      <w:marLeft w:val="0"/>
      <w:marRight w:val="0"/>
      <w:marTop w:val="0"/>
      <w:marBottom w:val="0"/>
      <w:divBdr>
        <w:top w:val="none" w:sz="0" w:space="0" w:color="auto"/>
        <w:left w:val="none" w:sz="0" w:space="0" w:color="auto"/>
        <w:bottom w:val="none" w:sz="0" w:space="0" w:color="auto"/>
        <w:right w:val="none" w:sz="0" w:space="0" w:color="auto"/>
      </w:divBdr>
    </w:div>
    <w:div w:id="161743646">
      <w:bodyDiv w:val="1"/>
      <w:marLeft w:val="0"/>
      <w:marRight w:val="0"/>
      <w:marTop w:val="0"/>
      <w:marBottom w:val="0"/>
      <w:divBdr>
        <w:top w:val="none" w:sz="0" w:space="0" w:color="auto"/>
        <w:left w:val="none" w:sz="0" w:space="0" w:color="auto"/>
        <w:bottom w:val="none" w:sz="0" w:space="0" w:color="auto"/>
        <w:right w:val="none" w:sz="0" w:space="0" w:color="auto"/>
      </w:divBdr>
    </w:div>
    <w:div w:id="180751747">
      <w:bodyDiv w:val="1"/>
      <w:marLeft w:val="0"/>
      <w:marRight w:val="0"/>
      <w:marTop w:val="0"/>
      <w:marBottom w:val="0"/>
      <w:divBdr>
        <w:top w:val="none" w:sz="0" w:space="0" w:color="auto"/>
        <w:left w:val="none" w:sz="0" w:space="0" w:color="auto"/>
        <w:bottom w:val="none" w:sz="0" w:space="0" w:color="auto"/>
        <w:right w:val="none" w:sz="0" w:space="0" w:color="auto"/>
      </w:divBdr>
    </w:div>
    <w:div w:id="202598342">
      <w:bodyDiv w:val="1"/>
      <w:marLeft w:val="0"/>
      <w:marRight w:val="0"/>
      <w:marTop w:val="0"/>
      <w:marBottom w:val="0"/>
      <w:divBdr>
        <w:top w:val="none" w:sz="0" w:space="0" w:color="auto"/>
        <w:left w:val="none" w:sz="0" w:space="0" w:color="auto"/>
        <w:bottom w:val="none" w:sz="0" w:space="0" w:color="auto"/>
        <w:right w:val="none" w:sz="0" w:space="0" w:color="auto"/>
      </w:divBdr>
    </w:div>
    <w:div w:id="299725940">
      <w:bodyDiv w:val="1"/>
      <w:marLeft w:val="0"/>
      <w:marRight w:val="0"/>
      <w:marTop w:val="0"/>
      <w:marBottom w:val="0"/>
      <w:divBdr>
        <w:top w:val="none" w:sz="0" w:space="0" w:color="auto"/>
        <w:left w:val="none" w:sz="0" w:space="0" w:color="auto"/>
        <w:bottom w:val="none" w:sz="0" w:space="0" w:color="auto"/>
        <w:right w:val="none" w:sz="0" w:space="0" w:color="auto"/>
      </w:divBdr>
    </w:div>
    <w:div w:id="373966500">
      <w:bodyDiv w:val="1"/>
      <w:marLeft w:val="0"/>
      <w:marRight w:val="0"/>
      <w:marTop w:val="0"/>
      <w:marBottom w:val="0"/>
      <w:divBdr>
        <w:top w:val="none" w:sz="0" w:space="0" w:color="auto"/>
        <w:left w:val="none" w:sz="0" w:space="0" w:color="auto"/>
        <w:bottom w:val="none" w:sz="0" w:space="0" w:color="auto"/>
        <w:right w:val="none" w:sz="0" w:space="0" w:color="auto"/>
      </w:divBdr>
    </w:div>
    <w:div w:id="376710728">
      <w:bodyDiv w:val="1"/>
      <w:marLeft w:val="0"/>
      <w:marRight w:val="0"/>
      <w:marTop w:val="0"/>
      <w:marBottom w:val="0"/>
      <w:divBdr>
        <w:top w:val="none" w:sz="0" w:space="0" w:color="auto"/>
        <w:left w:val="none" w:sz="0" w:space="0" w:color="auto"/>
        <w:bottom w:val="none" w:sz="0" w:space="0" w:color="auto"/>
        <w:right w:val="none" w:sz="0" w:space="0" w:color="auto"/>
      </w:divBdr>
    </w:div>
    <w:div w:id="384181387">
      <w:bodyDiv w:val="1"/>
      <w:marLeft w:val="0"/>
      <w:marRight w:val="0"/>
      <w:marTop w:val="0"/>
      <w:marBottom w:val="0"/>
      <w:divBdr>
        <w:top w:val="none" w:sz="0" w:space="0" w:color="auto"/>
        <w:left w:val="none" w:sz="0" w:space="0" w:color="auto"/>
        <w:bottom w:val="none" w:sz="0" w:space="0" w:color="auto"/>
        <w:right w:val="none" w:sz="0" w:space="0" w:color="auto"/>
      </w:divBdr>
    </w:div>
    <w:div w:id="443619346">
      <w:bodyDiv w:val="1"/>
      <w:marLeft w:val="0"/>
      <w:marRight w:val="0"/>
      <w:marTop w:val="0"/>
      <w:marBottom w:val="0"/>
      <w:divBdr>
        <w:top w:val="none" w:sz="0" w:space="0" w:color="auto"/>
        <w:left w:val="none" w:sz="0" w:space="0" w:color="auto"/>
        <w:bottom w:val="none" w:sz="0" w:space="0" w:color="auto"/>
        <w:right w:val="none" w:sz="0" w:space="0" w:color="auto"/>
      </w:divBdr>
    </w:div>
    <w:div w:id="506485991">
      <w:bodyDiv w:val="1"/>
      <w:marLeft w:val="0"/>
      <w:marRight w:val="0"/>
      <w:marTop w:val="0"/>
      <w:marBottom w:val="0"/>
      <w:divBdr>
        <w:top w:val="none" w:sz="0" w:space="0" w:color="auto"/>
        <w:left w:val="none" w:sz="0" w:space="0" w:color="auto"/>
        <w:bottom w:val="none" w:sz="0" w:space="0" w:color="auto"/>
        <w:right w:val="none" w:sz="0" w:space="0" w:color="auto"/>
      </w:divBdr>
    </w:div>
    <w:div w:id="549000270">
      <w:bodyDiv w:val="1"/>
      <w:marLeft w:val="0"/>
      <w:marRight w:val="0"/>
      <w:marTop w:val="0"/>
      <w:marBottom w:val="0"/>
      <w:divBdr>
        <w:top w:val="none" w:sz="0" w:space="0" w:color="auto"/>
        <w:left w:val="none" w:sz="0" w:space="0" w:color="auto"/>
        <w:bottom w:val="none" w:sz="0" w:space="0" w:color="auto"/>
        <w:right w:val="none" w:sz="0" w:space="0" w:color="auto"/>
      </w:divBdr>
    </w:div>
    <w:div w:id="569853516">
      <w:bodyDiv w:val="1"/>
      <w:marLeft w:val="0"/>
      <w:marRight w:val="0"/>
      <w:marTop w:val="0"/>
      <w:marBottom w:val="0"/>
      <w:divBdr>
        <w:top w:val="none" w:sz="0" w:space="0" w:color="auto"/>
        <w:left w:val="none" w:sz="0" w:space="0" w:color="auto"/>
        <w:bottom w:val="none" w:sz="0" w:space="0" w:color="auto"/>
        <w:right w:val="none" w:sz="0" w:space="0" w:color="auto"/>
      </w:divBdr>
    </w:div>
    <w:div w:id="571744712">
      <w:bodyDiv w:val="1"/>
      <w:marLeft w:val="0"/>
      <w:marRight w:val="0"/>
      <w:marTop w:val="0"/>
      <w:marBottom w:val="0"/>
      <w:divBdr>
        <w:top w:val="none" w:sz="0" w:space="0" w:color="auto"/>
        <w:left w:val="none" w:sz="0" w:space="0" w:color="auto"/>
        <w:bottom w:val="none" w:sz="0" w:space="0" w:color="auto"/>
        <w:right w:val="none" w:sz="0" w:space="0" w:color="auto"/>
      </w:divBdr>
    </w:div>
    <w:div w:id="577253572">
      <w:bodyDiv w:val="1"/>
      <w:marLeft w:val="0"/>
      <w:marRight w:val="0"/>
      <w:marTop w:val="0"/>
      <w:marBottom w:val="0"/>
      <w:divBdr>
        <w:top w:val="none" w:sz="0" w:space="0" w:color="auto"/>
        <w:left w:val="none" w:sz="0" w:space="0" w:color="auto"/>
        <w:bottom w:val="none" w:sz="0" w:space="0" w:color="auto"/>
        <w:right w:val="none" w:sz="0" w:space="0" w:color="auto"/>
      </w:divBdr>
    </w:div>
    <w:div w:id="589044493">
      <w:bodyDiv w:val="1"/>
      <w:marLeft w:val="0"/>
      <w:marRight w:val="0"/>
      <w:marTop w:val="0"/>
      <w:marBottom w:val="0"/>
      <w:divBdr>
        <w:top w:val="none" w:sz="0" w:space="0" w:color="auto"/>
        <w:left w:val="none" w:sz="0" w:space="0" w:color="auto"/>
        <w:bottom w:val="none" w:sz="0" w:space="0" w:color="auto"/>
        <w:right w:val="none" w:sz="0" w:space="0" w:color="auto"/>
      </w:divBdr>
    </w:div>
    <w:div w:id="617301178">
      <w:bodyDiv w:val="1"/>
      <w:marLeft w:val="0"/>
      <w:marRight w:val="0"/>
      <w:marTop w:val="0"/>
      <w:marBottom w:val="0"/>
      <w:divBdr>
        <w:top w:val="none" w:sz="0" w:space="0" w:color="auto"/>
        <w:left w:val="none" w:sz="0" w:space="0" w:color="auto"/>
        <w:bottom w:val="none" w:sz="0" w:space="0" w:color="auto"/>
        <w:right w:val="none" w:sz="0" w:space="0" w:color="auto"/>
      </w:divBdr>
    </w:div>
    <w:div w:id="636763540">
      <w:bodyDiv w:val="1"/>
      <w:marLeft w:val="0"/>
      <w:marRight w:val="0"/>
      <w:marTop w:val="0"/>
      <w:marBottom w:val="0"/>
      <w:divBdr>
        <w:top w:val="none" w:sz="0" w:space="0" w:color="auto"/>
        <w:left w:val="none" w:sz="0" w:space="0" w:color="auto"/>
        <w:bottom w:val="none" w:sz="0" w:space="0" w:color="auto"/>
        <w:right w:val="none" w:sz="0" w:space="0" w:color="auto"/>
      </w:divBdr>
    </w:div>
    <w:div w:id="637489379">
      <w:bodyDiv w:val="1"/>
      <w:marLeft w:val="0"/>
      <w:marRight w:val="0"/>
      <w:marTop w:val="0"/>
      <w:marBottom w:val="0"/>
      <w:divBdr>
        <w:top w:val="none" w:sz="0" w:space="0" w:color="auto"/>
        <w:left w:val="none" w:sz="0" w:space="0" w:color="auto"/>
        <w:bottom w:val="none" w:sz="0" w:space="0" w:color="auto"/>
        <w:right w:val="none" w:sz="0" w:space="0" w:color="auto"/>
      </w:divBdr>
    </w:div>
    <w:div w:id="722828788">
      <w:bodyDiv w:val="1"/>
      <w:marLeft w:val="0"/>
      <w:marRight w:val="0"/>
      <w:marTop w:val="0"/>
      <w:marBottom w:val="0"/>
      <w:divBdr>
        <w:top w:val="none" w:sz="0" w:space="0" w:color="auto"/>
        <w:left w:val="none" w:sz="0" w:space="0" w:color="auto"/>
        <w:bottom w:val="none" w:sz="0" w:space="0" w:color="auto"/>
        <w:right w:val="none" w:sz="0" w:space="0" w:color="auto"/>
      </w:divBdr>
    </w:div>
    <w:div w:id="739984357">
      <w:bodyDiv w:val="1"/>
      <w:marLeft w:val="0"/>
      <w:marRight w:val="0"/>
      <w:marTop w:val="0"/>
      <w:marBottom w:val="0"/>
      <w:divBdr>
        <w:top w:val="none" w:sz="0" w:space="0" w:color="auto"/>
        <w:left w:val="none" w:sz="0" w:space="0" w:color="auto"/>
        <w:bottom w:val="none" w:sz="0" w:space="0" w:color="auto"/>
        <w:right w:val="none" w:sz="0" w:space="0" w:color="auto"/>
      </w:divBdr>
    </w:div>
    <w:div w:id="764575425">
      <w:bodyDiv w:val="1"/>
      <w:marLeft w:val="0"/>
      <w:marRight w:val="0"/>
      <w:marTop w:val="0"/>
      <w:marBottom w:val="0"/>
      <w:divBdr>
        <w:top w:val="none" w:sz="0" w:space="0" w:color="auto"/>
        <w:left w:val="none" w:sz="0" w:space="0" w:color="auto"/>
        <w:bottom w:val="none" w:sz="0" w:space="0" w:color="auto"/>
        <w:right w:val="none" w:sz="0" w:space="0" w:color="auto"/>
      </w:divBdr>
    </w:div>
    <w:div w:id="846483542">
      <w:bodyDiv w:val="1"/>
      <w:marLeft w:val="0"/>
      <w:marRight w:val="0"/>
      <w:marTop w:val="0"/>
      <w:marBottom w:val="0"/>
      <w:divBdr>
        <w:top w:val="none" w:sz="0" w:space="0" w:color="auto"/>
        <w:left w:val="none" w:sz="0" w:space="0" w:color="auto"/>
        <w:bottom w:val="none" w:sz="0" w:space="0" w:color="auto"/>
        <w:right w:val="none" w:sz="0" w:space="0" w:color="auto"/>
      </w:divBdr>
    </w:div>
    <w:div w:id="856432571">
      <w:bodyDiv w:val="1"/>
      <w:marLeft w:val="0"/>
      <w:marRight w:val="0"/>
      <w:marTop w:val="0"/>
      <w:marBottom w:val="0"/>
      <w:divBdr>
        <w:top w:val="none" w:sz="0" w:space="0" w:color="auto"/>
        <w:left w:val="none" w:sz="0" w:space="0" w:color="auto"/>
        <w:bottom w:val="none" w:sz="0" w:space="0" w:color="auto"/>
        <w:right w:val="none" w:sz="0" w:space="0" w:color="auto"/>
      </w:divBdr>
    </w:div>
    <w:div w:id="858390782">
      <w:bodyDiv w:val="1"/>
      <w:marLeft w:val="0"/>
      <w:marRight w:val="0"/>
      <w:marTop w:val="0"/>
      <w:marBottom w:val="0"/>
      <w:divBdr>
        <w:top w:val="none" w:sz="0" w:space="0" w:color="auto"/>
        <w:left w:val="none" w:sz="0" w:space="0" w:color="auto"/>
        <w:bottom w:val="none" w:sz="0" w:space="0" w:color="auto"/>
        <w:right w:val="none" w:sz="0" w:space="0" w:color="auto"/>
      </w:divBdr>
    </w:div>
    <w:div w:id="890380704">
      <w:bodyDiv w:val="1"/>
      <w:marLeft w:val="0"/>
      <w:marRight w:val="0"/>
      <w:marTop w:val="0"/>
      <w:marBottom w:val="0"/>
      <w:divBdr>
        <w:top w:val="none" w:sz="0" w:space="0" w:color="auto"/>
        <w:left w:val="none" w:sz="0" w:space="0" w:color="auto"/>
        <w:bottom w:val="none" w:sz="0" w:space="0" w:color="auto"/>
        <w:right w:val="none" w:sz="0" w:space="0" w:color="auto"/>
      </w:divBdr>
    </w:div>
    <w:div w:id="917834657">
      <w:bodyDiv w:val="1"/>
      <w:marLeft w:val="0"/>
      <w:marRight w:val="0"/>
      <w:marTop w:val="0"/>
      <w:marBottom w:val="0"/>
      <w:divBdr>
        <w:top w:val="none" w:sz="0" w:space="0" w:color="auto"/>
        <w:left w:val="none" w:sz="0" w:space="0" w:color="auto"/>
        <w:bottom w:val="none" w:sz="0" w:space="0" w:color="auto"/>
        <w:right w:val="none" w:sz="0" w:space="0" w:color="auto"/>
      </w:divBdr>
    </w:div>
    <w:div w:id="965283355">
      <w:bodyDiv w:val="1"/>
      <w:marLeft w:val="0"/>
      <w:marRight w:val="0"/>
      <w:marTop w:val="0"/>
      <w:marBottom w:val="0"/>
      <w:divBdr>
        <w:top w:val="none" w:sz="0" w:space="0" w:color="auto"/>
        <w:left w:val="none" w:sz="0" w:space="0" w:color="auto"/>
        <w:bottom w:val="none" w:sz="0" w:space="0" w:color="auto"/>
        <w:right w:val="none" w:sz="0" w:space="0" w:color="auto"/>
      </w:divBdr>
    </w:div>
    <w:div w:id="1006523031">
      <w:bodyDiv w:val="1"/>
      <w:marLeft w:val="0"/>
      <w:marRight w:val="0"/>
      <w:marTop w:val="0"/>
      <w:marBottom w:val="0"/>
      <w:divBdr>
        <w:top w:val="none" w:sz="0" w:space="0" w:color="auto"/>
        <w:left w:val="none" w:sz="0" w:space="0" w:color="auto"/>
        <w:bottom w:val="none" w:sz="0" w:space="0" w:color="auto"/>
        <w:right w:val="none" w:sz="0" w:space="0" w:color="auto"/>
      </w:divBdr>
    </w:div>
    <w:div w:id="1026491968">
      <w:bodyDiv w:val="1"/>
      <w:marLeft w:val="0"/>
      <w:marRight w:val="0"/>
      <w:marTop w:val="0"/>
      <w:marBottom w:val="0"/>
      <w:divBdr>
        <w:top w:val="none" w:sz="0" w:space="0" w:color="auto"/>
        <w:left w:val="none" w:sz="0" w:space="0" w:color="auto"/>
        <w:bottom w:val="none" w:sz="0" w:space="0" w:color="auto"/>
        <w:right w:val="none" w:sz="0" w:space="0" w:color="auto"/>
      </w:divBdr>
    </w:div>
    <w:div w:id="1043402137">
      <w:bodyDiv w:val="1"/>
      <w:marLeft w:val="0"/>
      <w:marRight w:val="0"/>
      <w:marTop w:val="0"/>
      <w:marBottom w:val="0"/>
      <w:divBdr>
        <w:top w:val="none" w:sz="0" w:space="0" w:color="auto"/>
        <w:left w:val="none" w:sz="0" w:space="0" w:color="auto"/>
        <w:bottom w:val="none" w:sz="0" w:space="0" w:color="auto"/>
        <w:right w:val="none" w:sz="0" w:space="0" w:color="auto"/>
      </w:divBdr>
    </w:div>
    <w:div w:id="1070542785">
      <w:bodyDiv w:val="1"/>
      <w:marLeft w:val="0"/>
      <w:marRight w:val="0"/>
      <w:marTop w:val="0"/>
      <w:marBottom w:val="0"/>
      <w:divBdr>
        <w:top w:val="none" w:sz="0" w:space="0" w:color="auto"/>
        <w:left w:val="none" w:sz="0" w:space="0" w:color="auto"/>
        <w:bottom w:val="none" w:sz="0" w:space="0" w:color="auto"/>
        <w:right w:val="none" w:sz="0" w:space="0" w:color="auto"/>
      </w:divBdr>
    </w:div>
    <w:div w:id="1154377723">
      <w:bodyDiv w:val="1"/>
      <w:marLeft w:val="0"/>
      <w:marRight w:val="0"/>
      <w:marTop w:val="0"/>
      <w:marBottom w:val="0"/>
      <w:divBdr>
        <w:top w:val="none" w:sz="0" w:space="0" w:color="auto"/>
        <w:left w:val="none" w:sz="0" w:space="0" w:color="auto"/>
        <w:bottom w:val="none" w:sz="0" w:space="0" w:color="auto"/>
        <w:right w:val="none" w:sz="0" w:space="0" w:color="auto"/>
      </w:divBdr>
    </w:div>
    <w:div w:id="1247543604">
      <w:bodyDiv w:val="1"/>
      <w:marLeft w:val="0"/>
      <w:marRight w:val="0"/>
      <w:marTop w:val="0"/>
      <w:marBottom w:val="0"/>
      <w:divBdr>
        <w:top w:val="none" w:sz="0" w:space="0" w:color="auto"/>
        <w:left w:val="none" w:sz="0" w:space="0" w:color="auto"/>
        <w:bottom w:val="none" w:sz="0" w:space="0" w:color="auto"/>
        <w:right w:val="none" w:sz="0" w:space="0" w:color="auto"/>
      </w:divBdr>
    </w:div>
    <w:div w:id="1248269350">
      <w:bodyDiv w:val="1"/>
      <w:marLeft w:val="0"/>
      <w:marRight w:val="0"/>
      <w:marTop w:val="0"/>
      <w:marBottom w:val="0"/>
      <w:divBdr>
        <w:top w:val="none" w:sz="0" w:space="0" w:color="auto"/>
        <w:left w:val="none" w:sz="0" w:space="0" w:color="auto"/>
        <w:bottom w:val="none" w:sz="0" w:space="0" w:color="auto"/>
        <w:right w:val="none" w:sz="0" w:space="0" w:color="auto"/>
      </w:divBdr>
    </w:div>
    <w:div w:id="1254784223">
      <w:bodyDiv w:val="1"/>
      <w:marLeft w:val="0"/>
      <w:marRight w:val="0"/>
      <w:marTop w:val="0"/>
      <w:marBottom w:val="0"/>
      <w:divBdr>
        <w:top w:val="none" w:sz="0" w:space="0" w:color="auto"/>
        <w:left w:val="none" w:sz="0" w:space="0" w:color="auto"/>
        <w:bottom w:val="none" w:sz="0" w:space="0" w:color="auto"/>
        <w:right w:val="none" w:sz="0" w:space="0" w:color="auto"/>
      </w:divBdr>
    </w:div>
    <w:div w:id="1314406695">
      <w:bodyDiv w:val="1"/>
      <w:marLeft w:val="0"/>
      <w:marRight w:val="0"/>
      <w:marTop w:val="0"/>
      <w:marBottom w:val="0"/>
      <w:divBdr>
        <w:top w:val="none" w:sz="0" w:space="0" w:color="auto"/>
        <w:left w:val="none" w:sz="0" w:space="0" w:color="auto"/>
        <w:bottom w:val="none" w:sz="0" w:space="0" w:color="auto"/>
        <w:right w:val="none" w:sz="0" w:space="0" w:color="auto"/>
      </w:divBdr>
    </w:div>
    <w:div w:id="1332414706">
      <w:bodyDiv w:val="1"/>
      <w:marLeft w:val="0"/>
      <w:marRight w:val="0"/>
      <w:marTop w:val="0"/>
      <w:marBottom w:val="0"/>
      <w:divBdr>
        <w:top w:val="none" w:sz="0" w:space="0" w:color="auto"/>
        <w:left w:val="none" w:sz="0" w:space="0" w:color="auto"/>
        <w:bottom w:val="none" w:sz="0" w:space="0" w:color="auto"/>
        <w:right w:val="none" w:sz="0" w:space="0" w:color="auto"/>
      </w:divBdr>
    </w:div>
    <w:div w:id="1429080026">
      <w:bodyDiv w:val="1"/>
      <w:marLeft w:val="0"/>
      <w:marRight w:val="0"/>
      <w:marTop w:val="0"/>
      <w:marBottom w:val="0"/>
      <w:divBdr>
        <w:top w:val="none" w:sz="0" w:space="0" w:color="auto"/>
        <w:left w:val="none" w:sz="0" w:space="0" w:color="auto"/>
        <w:bottom w:val="none" w:sz="0" w:space="0" w:color="auto"/>
        <w:right w:val="none" w:sz="0" w:space="0" w:color="auto"/>
      </w:divBdr>
    </w:div>
    <w:div w:id="1457915986">
      <w:bodyDiv w:val="1"/>
      <w:marLeft w:val="0"/>
      <w:marRight w:val="0"/>
      <w:marTop w:val="0"/>
      <w:marBottom w:val="0"/>
      <w:divBdr>
        <w:top w:val="none" w:sz="0" w:space="0" w:color="auto"/>
        <w:left w:val="none" w:sz="0" w:space="0" w:color="auto"/>
        <w:bottom w:val="none" w:sz="0" w:space="0" w:color="auto"/>
        <w:right w:val="none" w:sz="0" w:space="0" w:color="auto"/>
      </w:divBdr>
    </w:div>
    <w:div w:id="1469006989">
      <w:bodyDiv w:val="1"/>
      <w:marLeft w:val="0"/>
      <w:marRight w:val="0"/>
      <w:marTop w:val="0"/>
      <w:marBottom w:val="0"/>
      <w:divBdr>
        <w:top w:val="none" w:sz="0" w:space="0" w:color="auto"/>
        <w:left w:val="none" w:sz="0" w:space="0" w:color="auto"/>
        <w:bottom w:val="none" w:sz="0" w:space="0" w:color="auto"/>
        <w:right w:val="none" w:sz="0" w:space="0" w:color="auto"/>
      </w:divBdr>
    </w:div>
    <w:div w:id="1519390726">
      <w:bodyDiv w:val="1"/>
      <w:marLeft w:val="0"/>
      <w:marRight w:val="0"/>
      <w:marTop w:val="0"/>
      <w:marBottom w:val="0"/>
      <w:divBdr>
        <w:top w:val="none" w:sz="0" w:space="0" w:color="auto"/>
        <w:left w:val="none" w:sz="0" w:space="0" w:color="auto"/>
        <w:bottom w:val="none" w:sz="0" w:space="0" w:color="auto"/>
        <w:right w:val="none" w:sz="0" w:space="0" w:color="auto"/>
      </w:divBdr>
    </w:div>
    <w:div w:id="1536885764">
      <w:bodyDiv w:val="1"/>
      <w:marLeft w:val="0"/>
      <w:marRight w:val="0"/>
      <w:marTop w:val="0"/>
      <w:marBottom w:val="0"/>
      <w:divBdr>
        <w:top w:val="none" w:sz="0" w:space="0" w:color="auto"/>
        <w:left w:val="none" w:sz="0" w:space="0" w:color="auto"/>
        <w:bottom w:val="none" w:sz="0" w:space="0" w:color="auto"/>
        <w:right w:val="none" w:sz="0" w:space="0" w:color="auto"/>
      </w:divBdr>
    </w:div>
    <w:div w:id="1666011549">
      <w:bodyDiv w:val="1"/>
      <w:marLeft w:val="0"/>
      <w:marRight w:val="0"/>
      <w:marTop w:val="0"/>
      <w:marBottom w:val="0"/>
      <w:divBdr>
        <w:top w:val="none" w:sz="0" w:space="0" w:color="auto"/>
        <w:left w:val="none" w:sz="0" w:space="0" w:color="auto"/>
        <w:bottom w:val="none" w:sz="0" w:space="0" w:color="auto"/>
        <w:right w:val="none" w:sz="0" w:space="0" w:color="auto"/>
      </w:divBdr>
    </w:div>
    <w:div w:id="1674188294">
      <w:bodyDiv w:val="1"/>
      <w:marLeft w:val="0"/>
      <w:marRight w:val="0"/>
      <w:marTop w:val="0"/>
      <w:marBottom w:val="0"/>
      <w:divBdr>
        <w:top w:val="none" w:sz="0" w:space="0" w:color="auto"/>
        <w:left w:val="none" w:sz="0" w:space="0" w:color="auto"/>
        <w:bottom w:val="none" w:sz="0" w:space="0" w:color="auto"/>
        <w:right w:val="none" w:sz="0" w:space="0" w:color="auto"/>
      </w:divBdr>
    </w:div>
    <w:div w:id="1674599476">
      <w:bodyDiv w:val="1"/>
      <w:marLeft w:val="0"/>
      <w:marRight w:val="0"/>
      <w:marTop w:val="0"/>
      <w:marBottom w:val="0"/>
      <w:divBdr>
        <w:top w:val="none" w:sz="0" w:space="0" w:color="auto"/>
        <w:left w:val="none" w:sz="0" w:space="0" w:color="auto"/>
        <w:bottom w:val="none" w:sz="0" w:space="0" w:color="auto"/>
        <w:right w:val="none" w:sz="0" w:space="0" w:color="auto"/>
      </w:divBdr>
    </w:div>
    <w:div w:id="1683162595">
      <w:bodyDiv w:val="1"/>
      <w:marLeft w:val="0"/>
      <w:marRight w:val="0"/>
      <w:marTop w:val="0"/>
      <w:marBottom w:val="0"/>
      <w:divBdr>
        <w:top w:val="none" w:sz="0" w:space="0" w:color="auto"/>
        <w:left w:val="none" w:sz="0" w:space="0" w:color="auto"/>
        <w:bottom w:val="none" w:sz="0" w:space="0" w:color="auto"/>
        <w:right w:val="none" w:sz="0" w:space="0" w:color="auto"/>
      </w:divBdr>
      <w:divsChild>
        <w:div w:id="139657482">
          <w:marLeft w:val="0"/>
          <w:marRight w:val="0"/>
          <w:marTop w:val="0"/>
          <w:marBottom w:val="0"/>
          <w:divBdr>
            <w:top w:val="none" w:sz="0" w:space="0" w:color="auto"/>
            <w:left w:val="none" w:sz="0" w:space="0" w:color="auto"/>
            <w:bottom w:val="none" w:sz="0" w:space="0" w:color="auto"/>
            <w:right w:val="none" w:sz="0" w:space="0" w:color="auto"/>
          </w:divBdr>
          <w:divsChild>
            <w:div w:id="824471567">
              <w:marLeft w:val="0"/>
              <w:marRight w:val="0"/>
              <w:marTop w:val="0"/>
              <w:marBottom w:val="0"/>
              <w:divBdr>
                <w:top w:val="none" w:sz="0" w:space="0" w:color="auto"/>
                <w:left w:val="none" w:sz="0" w:space="0" w:color="auto"/>
                <w:bottom w:val="none" w:sz="0" w:space="0" w:color="auto"/>
                <w:right w:val="none" w:sz="0" w:space="0" w:color="auto"/>
              </w:divBdr>
              <w:divsChild>
                <w:div w:id="1778676682">
                  <w:marLeft w:val="0"/>
                  <w:marRight w:val="0"/>
                  <w:marTop w:val="0"/>
                  <w:marBottom w:val="0"/>
                  <w:divBdr>
                    <w:top w:val="none" w:sz="0" w:space="0" w:color="auto"/>
                    <w:left w:val="none" w:sz="0" w:space="0" w:color="auto"/>
                    <w:bottom w:val="none" w:sz="0" w:space="0" w:color="auto"/>
                    <w:right w:val="none" w:sz="0" w:space="0" w:color="auto"/>
                  </w:divBdr>
                  <w:divsChild>
                    <w:div w:id="1999070865">
                      <w:marLeft w:val="0"/>
                      <w:marRight w:val="0"/>
                      <w:marTop w:val="0"/>
                      <w:marBottom w:val="0"/>
                      <w:divBdr>
                        <w:top w:val="none" w:sz="0" w:space="0" w:color="auto"/>
                        <w:left w:val="none" w:sz="0" w:space="0" w:color="auto"/>
                        <w:bottom w:val="none" w:sz="0" w:space="0" w:color="auto"/>
                        <w:right w:val="none" w:sz="0" w:space="0" w:color="auto"/>
                      </w:divBdr>
                      <w:divsChild>
                        <w:div w:id="1322083471">
                          <w:marLeft w:val="0"/>
                          <w:marRight w:val="0"/>
                          <w:marTop w:val="0"/>
                          <w:marBottom w:val="0"/>
                          <w:divBdr>
                            <w:top w:val="none" w:sz="0" w:space="0" w:color="auto"/>
                            <w:left w:val="none" w:sz="0" w:space="0" w:color="auto"/>
                            <w:bottom w:val="none" w:sz="0" w:space="0" w:color="auto"/>
                            <w:right w:val="none" w:sz="0" w:space="0" w:color="auto"/>
                          </w:divBdr>
                          <w:divsChild>
                            <w:div w:id="994991259">
                              <w:marLeft w:val="0"/>
                              <w:marRight w:val="0"/>
                              <w:marTop w:val="0"/>
                              <w:marBottom w:val="0"/>
                              <w:divBdr>
                                <w:top w:val="none" w:sz="0" w:space="0" w:color="auto"/>
                                <w:left w:val="none" w:sz="0" w:space="0" w:color="auto"/>
                                <w:bottom w:val="none" w:sz="0" w:space="0" w:color="auto"/>
                                <w:right w:val="none" w:sz="0" w:space="0" w:color="auto"/>
                              </w:divBdr>
                              <w:divsChild>
                                <w:div w:id="1092622973">
                                  <w:marLeft w:val="0"/>
                                  <w:marRight w:val="0"/>
                                  <w:marTop w:val="0"/>
                                  <w:marBottom w:val="0"/>
                                  <w:divBdr>
                                    <w:top w:val="none" w:sz="0" w:space="0" w:color="auto"/>
                                    <w:left w:val="none" w:sz="0" w:space="0" w:color="auto"/>
                                    <w:bottom w:val="none" w:sz="0" w:space="0" w:color="auto"/>
                                    <w:right w:val="none" w:sz="0" w:space="0" w:color="auto"/>
                                  </w:divBdr>
                                  <w:divsChild>
                                    <w:div w:id="12143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421946">
      <w:bodyDiv w:val="1"/>
      <w:marLeft w:val="0"/>
      <w:marRight w:val="0"/>
      <w:marTop w:val="0"/>
      <w:marBottom w:val="0"/>
      <w:divBdr>
        <w:top w:val="none" w:sz="0" w:space="0" w:color="auto"/>
        <w:left w:val="none" w:sz="0" w:space="0" w:color="auto"/>
        <w:bottom w:val="none" w:sz="0" w:space="0" w:color="auto"/>
        <w:right w:val="none" w:sz="0" w:space="0" w:color="auto"/>
      </w:divBdr>
    </w:div>
    <w:div w:id="1714648381">
      <w:bodyDiv w:val="1"/>
      <w:marLeft w:val="0"/>
      <w:marRight w:val="0"/>
      <w:marTop w:val="0"/>
      <w:marBottom w:val="0"/>
      <w:divBdr>
        <w:top w:val="none" w:sz="0" w:space="0" w:color="auto"/>
        <w:left w:val="none" w:sz="0" w:space="0" w:color="auto"/>
        <w:bottom w:val="none" w:sz="0" w:space="0" w:color="auto"/>
        <w:right w:val="none" w:sz="0" w:space="0" w:color="auto"/>
      </w:divBdr>
    </w:div>
    <w:div w:id="1760786289">
      <w:bodyDiv w:val="1"/>
      <w:marLeft w:val="0"/>
      <w:marRight w:val="0"/>
      <w:marTop w:val="0"/>
      <w:marBottom w:val="0"/>
      <w:divBdr>
        <w:top w:val="none" w:sz="0" w:space="0" w:color="auto"/>
        <w:left w:val="none" w:sz="0" w:space="0" w:color="auto"/>
        <w:bottom w:val="none" w:sz="0" w:space="0" w:color="auto"/>
        <w:right w:val="none" w:sz="0" w:space="0" w:color="auto"/>
      </w:divBdr>
    </w:div>
    <w:div w:id="1796950830">
      <w:bodyDiv w:val="1"/>
      <w:marLeft w:val="0"/>
      <w:marRight w:val="0"/>
      <w:marTop w:val="0"/>
      <w:marBottom w:val="0"/>
      <w:divBdr>
        <w:top w:val="none" w:sz="0" w:space="0" w:color="auto"/>
        <w:left w:val="none" w:sz="0" w:space="0" w:color="auto"/>
        <w:bottom w:val="none" w:sz="0" w:space="0" w:color="auto"/>
        <w:right w:val="none" w:sz="0" w:space="0" w:color="auto"/>
      </w:divBdr>
    </w:div>
    <w:div w:id="1850949710">
      <w:bodyDiv w:val="1"/>
      <w:marLeft w:val="0"/>
      <w:marRight w:val="0"/>
      <w:marTop w:val="0"/>
      <w:marBottom w:val="0"/>
      <w:divBdr>
        <w:top w:val="none" w:sz="0" w:space="0" w:color="auto"/>
        <w:left w:val="none" w:sz="0" w:space="0" w:color="auto"/>
        <w:bottom w:val="none" w:sz="0" w:space="0" w:color="auto"/>
        <w:right w:val="none" w:sz="0" w:space="0" w:color="auto"/>
      </w:divBdr>
    </w:div>
    <w:div w:id="2013946459">
      <w:bodyDiv w:val="1"/>
      <w:marLeft w:val="0"/>
      <w:marRight w:val="0"/>
      <w:marTop w:val="0"/>
      <w:marBottom w:val="0"/>
      <w:divBdr>
        <w:top w:val="none" w:sz="0" w:space="0" w:color="auto"/>
        <w:left w:val="none" w:sz="0" w:space="0" w:color="auto"/>
        <w:bottom w:val="none" w:sz="0" w:space="0" w:color="auto"/>
        <w:right w:val="none" w:sz="0" w:space="0" w:color="auto"/>
      </w:divBdr>
    </w:div>
    <w:div w:id="210988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image" Target="media/image8.emf"/><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10.png"/><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9.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D338B101ABB042B3805E198D9BC66B" ma:contentTypeVersion="0" ma:contentTypeDescription="Vytvořit nový dokument" ma:contentTypeScope="" ma:versionID="f79af1eb36444dbb7724b9c307ad9897">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F1C0E-A0A5-45CD-BD4C-308BE1721339}">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A4FB3D0-5B71-438A-ACC8-0CE163D1BEE0}">
  <ds:schemaRefs>
    <ds:schemaRef ds:uri="http://schemas.microsoft.com/sharepoint/v3/contenttype/forms"/>
  </ds:schemaRefs>
</ds:datastoreItem>
</file>

<file path=customXml/itemProps3.xml><?xml version="1.0" encoding="utf-8"?>
<ds:datastoreItem xmlns:ds="http://schemas.openxmlformats.org/officeDocument/2006/customXml" ds:itemID="{8AF7C92C-A811-47CE-A4BF-9A20C8034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CBB9F03-3C0C-4522-A0D8-E386F635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21343</Words>
  <Characters>125929</Characters>
  <Application>Microsoft Office Word</Application>
  <DocSecurity>0</DocSecurity>
  <Lines>1049</Lines>
  <Paragraphs>293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Léblová Irena</dc:creator>
  <cp:lastModifiedBy>Malátová Lucie</cp:lastModifiedBy>
  <cp:revision>2</cp:revision>
  <cp:lastPrinted>2016-03-23T13:22:00Z</cp:lastPrinted>
  <dcterms:created xsi:type="dcterms:W3CDTF">2017-06-02T12:26:00Z</dcterms:created>
  <dcterms:modified xsi:type="dcterms:W3CDTF">2017-06-02T12:26:00Z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0x0101003FD338B101ABB042B3805E198D9BC66B</vt:lpwstr>
  </property>
</Properties>
</file>