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29775EFE"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F21497">
        <w:rPr>
          <w:b/>
          <w:sz w:val="36"/>
        </w:rPr>
        <w:t>2</w:t>
      </w:r>
      <w:r w:rsidR="000F190C">
        <w:rPr>
          <w:b/>
          <w:sz w:val="36"/>
        </w:rPr>
        <w:t>5</w:t>
      </w:r>
      <w:r w:rsidR="00F21497">
        <w:rPr>
          <w:b/>
          <w:sz w:val="36"/>
        </w:rPr>
        <w:t>31</w:t>
      </w:r>
    </w:p>
    <w:p w14:paraId="4A202617" w14:textId="691B74C0" w:rsidR="00A527A9" w:rsidRDefault="00A527A9" w:rsidP="00C777AB">
      <w:pPr>
        <w:jc w:val="center"/>
        <w:rPr>
          <w:b/>
          <w:sz w:val="36"/>
        </w:rPr>
      </w:pPr>
      <w:r>
        <w:rPr>
          <w:b/>
          <w:sz w:val="36"/>
        </w:rPr>
        <w:t>P</w:t>
      </w:r>
      <w:r w:rsidRPr="00A527A9">
        <w:rPr>
          <w:b/>
          <w:sz w:val="36"/>
        </w:rPr>
        <w:t>odpor</w:t>
      </w:r>
      <w:r>
        <w:rPr>
          <w:b/>
          <w:sz w:val="36"/>
        </w:rPr>
        <w:t>a</w:t>
      </w:r>
      <w:r w:rsidRPr="00A527A9">
        <w:rPr>
          <w:b/>
          <w:sz w:val="36"/>
        </w:rPr>
        <w:t xml:space="preserve"> významných kulturních aktivit s náboženskou tematikou </w:t>
      </w:r>
      <w:r>
        <w:rPr>
          <w:b/>
          <w:sz w:val="36"/>
        </w:rPr>
        <w:t xml:space="preserve">pro církve a náboženské společnosti a pro spolky </w:t>
      </w:r>
      <w:r w:rsidRPr="00A527A9">
        <w:rPr>
          <w:b/>
          <w:sz w:val="36"/>
        </w:rPr>
        <w:t>v</w:t>
      </w:r>
      <w:r>
        <w:rPr>
          <w:b/>
          <w:sz w:val="36"/>
        </w:rPr>
        <w:t> </w:t>
      </w:r>
      <w:r w:rsidRPr="00A527A9">
        <w:rPr>
          <w:b/>
          <w:sz w:val="36"/>
        </w:rPr>
        <w:t>roce</w:t>
      </w:r>
      <w:r>
        <w:rPr>
          <w:b/>
          <w:sz w:val="36"/>
        </w:rPr>
        <w:t> </w:t>
      </w:r>
      <w:r w:rsidRPr="00A527A9">
        <w:rPr>
          <w:b/>
          <w:sz w:val="36"/>
        </w:rPr>
        <w:t>202</w:t>
      </w:r>
      <w:r w:rsidR="00E5515C">
        <w:rPr>
          <w:b/>
          <w:sz w:val="36"/>
        </w:rPr>
        <w:t>6</w:t>
      </w:r>
    </w:p>
    <w:p w14:paraId="4F9FFE63" w14:textId="3C81AC90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A527A9">
        <w:t>Kulturní aktivity</w:t>
      </w:r>
    </w:p>
    <w:p w14:paraId="47EEF0B5" w14:textId="77777777" w:rsidR="00D53654" w:rsidRDefault="00D53654" w:rsidP="001A01E8">
      <w:pPr>
        <w:jc w:val="both"/>
      </w:pPr>
    </w:p>
    <w:p w14:paraId="34953A4E" w14:textId="04E35DA5" w:rsidR="00D53654" w:rsidRDefault="00D53654" w:rsidP="001A01E8">
      <w:pPr>
        <w:jc w:val="both"/>
      </w:pPr>
      <w:r>
        <w:t>Ministerstvo kultury</w:t>
      </w:r>
      <w:r w:rsidR="00621BD6">
        <w:t xml:space="preserve"> ČR</w:t>
      </w:r>
      <w:r>
        <w:t xml:space="preserve"> (dále jen „MK</w:t>
      </w:r>
      <w:r w:rsidR="00621BD6">
        <w:t>ČR</w:t>
      </w:r>
      <w:r>
        <w:t xml:space="preserve">“) vyhlašuje </w:t>
      </w:r>
      <w:r w:rsidRPr="00D53654">
        <w:t>podle zákona č. 218/2000 Sb., o rozpočtových pravidlech a o změně některých souvisejících zákonů (rozpočtová pravidla), v platném znění</w:t>
      </w:r>
      <w:r>
        <w:t xml:space="preserve"> (dále jen „rozpočtová pravidla“)</w:t>
      </w:r>
      <w:r w:rsidRPr="00D53654">
        <w:t>,</w:t>
      </w:r>
      <w:r w:rsidRPr="00244A96">
        <w:t xml:space="preserve"> </w:t>
      </w:r>
      <w:r w:rsidRPr="00D53654">
        <w:t xml:space="preserve">výzvu </w:t>
      </w:r>
      <w:r>
        <w:t>pro předkládání žádostí o poskytnutí dotace (dále jen „výzva“).</w:t>
      </w:r>
    </w:p>
    <w:p w14:paraId="5BEA810D" w14:textId="77777777" w:rsidR="00D53654" w:rsidRDefault="00D53654" w:rsidP="00D53654"/>
    <w:p w14:paraId="4E65AAD6" w14:textId="34C359A6" w:rsidR="00D53654" w:rsidRPr="00C777AB" w:rsidRDefault="00D53654" w:rsidP="00C777AB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686D66">
        <w:rPr>
          <w:b/>
          <w:sz w:val="24"/>
        </w:rPr>
        <w:t>16.10.202</w:t>
      </w:r>
      <w:r w:rsidR="00964588">
        <w:rPr>
          <w:b/>
          <w:sz w:val="24"/>
        </w:rPr>
        <w:t>5</w:t>
      </w:r>
      <w:r w:rsidR="00686D66">
        <w:rPr>
          <w:b/>
          <w:sz w:val="24"/>
        </w:rPr>
        <w:t xml:space="preserve"> (15:00 hod.)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5C11DE37"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686D66">
              <w:rPr>
                <w:b/>
              </w:rPr>
              <w:t>2</w:t>
            </w:r>
            <w:r w:rsidR="000F190C">
              <w:rPr>
                <w:b/>
              </w:rPr>
              <w:t>5</w:t>
            </w:r>
            <w:r w:rsidR="00686D66">
              <w:rPr>
                <w:b/>
              </w:rPr>
              <w:t>31</w:t>
            </w: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1C25CAE3" w:rsidR="00D53654" w:rsidRDefault="00686D66">
            <w:r>
              <w:t>Podpora významných kulturních aktivit s náboženskou tematikou</w:t>
            </w:r>
            <w:r w:rsidR="00EC59D4">
              <w:t xml:space="preserve"> </w:t>
            </w:r>
            <w:r w:rsidR="0072695F">
              <w:t>v</w:t>
            </w:r>
            <w:r w:rsidR="00D40B0F">
              <w:t> </w:t>
            </w:r>
            <w:r w:rsidR="0072695F">
              <w:t>roce</w:t>
            </w:r>
            <w:r w:rsidR="00D40B0F">
              <w:t> </w:t>
            </w:r>
            <w:r w:rsidR="0072695F">
              <w:t>202</w:t>
            </w:r>
            <w:r w:rsidR="00964588">
              <w:t>6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4DC8668E" w:rsidR="00D53654" w:rsidRDefault="00EC59D4">
            <w:r w:rsidRPr="00EC59D4">
              <w:t>Kulturní aktivity</w:t>
            </w:r>
          </w:p>
        </w:tc>
      </w:tr>
      <w:tr w:rsidR="00D53654" w14:paraId="664E7D91" w14:textId="77777777" w:rsidTr="00D53654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06C811C2" w:rsidR="00D53654" w:rsidRDefault="006231CE">
            <w:r>
              <w:t xml:space="preserve">Žádosti lze podat v období </w:t>
            </w:r>
            <w:r w:rsidR="00EC59D4">
              <w:t>0</w:t>
            </w:r>
            <w:r w:rsidR="000F190C">
              <w:t>9</w:t>
            </w:r>
            <w:r w:rsidR="00EC59D4">
              <w:t>.09.202</w:t>
            </w:r>
            <w:r w:rsidR="00964588">
              <w:t>5</w:t>
            </w:r>
            <w:r w:rsidR="00EC59D4">
              <w:t xml:space="preserve"> (</w:t>
            </w:r>
            <w:r w:rsidR="006C5812">
              <w:t>1</w:t>
            </w:r>
            <w:r w:rsidR="000F190C">
              <w:t>3</w:t>
            </w:r>
            <w:r w:rsidR="00EC59D4">
              <w:t>:00 hod</w:t>
            </w:r>
            <w:r w:rsidR="00EC59D4" w:rsidRPr="00EC59D4">
              <w:t>.)</w:t>
            </w:r>
            <w:r w:rsidRPr="00EC59D4">
              <w:t xml:space="preserve"> </w:t>
            </w:r>
            <w:r w:rsidR="00EC59D4" w:rsidRPr="00EC59D4">
              <w:t>–</w:t>
            </w:r>
            <w:r w:rsidRPr="00EC59D4">
              <w:t xml:space="preserve"> </w:t>
            </w:r>
            <w:r w:rsidR="00EC59D4" w:rsidRPr="00EC59D4">
              <w:t>16.10.202</w:t>
            </w:r>
            <w:r w:rsidR="00964588">
              <w:t>5</w:t>
            </w:r>
            <w:r w:rsidR="00EC59D4" w:rsidRPr="00EC59D4">
              <w:t xml:space="preserve"> (15:00 hod.)</w:t>
            </w:r>
          </w:p>
        </w:tc>
      </w:tr>
      <w:tr w:rsidR="006231CE" w14:paraId="38FA15BB" w14:textId="77777777" w:rsidTr="00D53654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61AD9E50" w:rsidR="006231CE" w:rsidRDefault="006231CE">
            <w:r>
              <w:t>Podpořené projekty lze realizovat v období mezi</w:t>
            </w:r>
            <w:r w:rsidR="0072695F">
              <w:t xml:space="preserve"> 01.01.202</w:t>
            </w:r>
            <w:r w:rsidR="00964588">
              <w:t>6</w:t>
            </w:r>
            <w:r w:rsidR="0072695F">
              <w:t xml:space="preserve"> až 31.12.202</w:t>
            </w:r>
            <w:r w:rsidR="00964588">
              <w:t>6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2095342F" w:rsidR="006231CE" w:rsidRPr="0072695F" w:rsidRDefault="0072695F">
            <w:r w:rsidRPr="0072695F">
              <w:t>Samostatné oddělení církví a náboženských společností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7F2D39A2" w14:textId="77777777" w:rsidR="006231CE" w:rsidRDefault="006231CE"/>
    <w:p w14:paraId="050904D3" w14:textId="77777777" w:rsidR="006231CE" w:rsidRDefault="006231CE"/>
    <w:p w14:paraId="460AC7A0" w14:textId="77777777" w:rsidR="006231CE" w:rsidRDefault="006231CE"/>
    <w:p w14:paraId="3A56264D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 w:rsidP="004931FE">
          <w:pPr>
            <w:pStyle w:val="Nadpisobsahu"/>
            <w:spacing w:line="360" w:lineRule="auto"/>
          </w:pPr>
          <w:r>
            <w:t>Obsah</w:t>
          </w:r>
        </w:p>
        <w:p w14:paraId="1F0C9765" w14:textId="657C845D" w:rsidR="00BB4D95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698156" w:history="1">
            <w:r w:rsidR="00BB4D95" w:rsidRPr="00F423D7">
              <w:rPr>
                <w:rStyle w:val="Hypertextovodkaz"/>
                <w:b/>
                <w:noProof/>
              </w:rPr>
              <w:t>1. Cíl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4118C2E8" w14:textId="4C6DDBF7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7" w:history="1">
            <w:r w:rsidR="00BB4D95" w:rsidRPr="00F423D7">
              <w:rPr>
                <w:rStyle w:val="Hypertextovodkaz"/>
                <w:b/>
                <w:noProof/>
              </w:rPr>
              <w:t>2. Oprávnění žadatelé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FA19B1" w14:textId="643A7781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8" w:history="1">
            <w:r w:rsidR="00BB4D95" w:rsidRPr="00F423D7">
              <w:rPr>
                <w:rStyle w:val="Hypertextovodkaz"/>
                <w:b/>
                <w:noProof/>
              </w:rPr>
              <w:t>3. Popis podporovaných aktivit – tematické okruhy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2EB88C38" w14:textId="631E1CA9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E80FFD" w14:textId="18F9EA89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9BA6055" w14:textId="181C349D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E0E8DCB" w14:textId="6759B7A3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5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F629AC3" w14:textId="6B05A0E0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54D7E19D" w14:textId="71C55C07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F71567" w14:textId="32462533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5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_Toc174698165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9FD1AA9" w14:textId="59C45965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6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DF4A42E" w14:textId="7835CAAA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7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4B49EE" w14:textId="7A547725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8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9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602BC3" w14:textId="632C1433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10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107BE53C" w14:textId="54D65152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10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15D8FA" w14:textId="7798F378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31F923" w14:textId="2F5FF018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12F998B" w14:textId="76B9430F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12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A223DA5" w14:textId="2CFC4198" w:rsidR="00BB4D95" w:rsidRDefault="00FE6D2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12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2BB8C7D" w14:textId="118B10B5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7DD9168A" w:rsidR="00881C61" w:rsidRDefault="00881C61">
      <w:r>
        <w:br w:type="page"/>
      </w:r>
    </w:p>
    <w:p w14:paraId="24BA06D2" w14:textId="77777777" w:rsidR="001A32BE" w:rsidRPr="000036D5" w:rsidRDefault="001A32BE" w:rsidP="005346F8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0" w:name="_Toc174698156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0FA476D7" w14:textId="1A5F28B9" w:rsidR="0052754F" w:rsidRDefault="00D40B0F" w:rsidP="004A0CDF">
      <w:pPr>
        <w:jc w:val="both"/>
      </w:pPr>
      <w:r>
        <w:t>Cílem programu je zvýšit informovanost a zájem veřejnosti o náboženskou oblast vymezenou činností registrovaných církví a náboženských společností.</w:t>
      </w:r>
    </w:p>
    <w:p w14:paraId="64193957" w14:textId="77777777" w:rsidR="00B02A16" w:rsidRPr="000036D5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</w:p>
    <w:p w14:paraId="0BE5DEE3" w14:textId="1125C851" w:rsidR="00995D38" w:rsidRPr="00244A96" w:rsidRDefault="00B02A16" w:rsidP="005346F8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1" w:name="_Toc174698157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14:paraId="67B94E7F" w14:textId="3E630A4B" w:rsidR="00881C61" w:rsidRDefault="00881C61" w:rsidP="00BA0200">
      <w:pPr>
        <w:pStyle w:val="Odstavecseseznamem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b/>
        </w:rPr>
        <w:t>P</w:t>
      </w:r>
      <w:r w:rsidRPr="00881C61">
        <w:rPr>
          <w:rFonts w:cstheme="minorHAnsi"/>
          <w:b/>
        </w:rPr>
        <w:t>rávnické osoby</w:t>
      </w:r>
      <w:r w:rsidRPr="00881C61">
        <w:rPr>
          <w:rFonts w:cstheme="minorHAnsi"/>
        </w:rPr>
        <w:t xml:space="preserve"> registrované nebo evidované v ČR </w:t>
      </w:r>
      <w:r w:rsidRPr="00881C61">
        <w:rPr>
          <w:rFonts w:cstheme="minorHAnsi"/>
          <w:b/>
        </w:rPr>
        <w:t>podle zákona o církvích a náboženských společnostech</w:t>
      </w:r>
      <w:r w:rsidRPr="00881C61">
        <w:rPr>
          <w:rFonts w:cstheme="minorHAnsi"/>
        </w:rPr>
        <w:t>,</w:t>
      </w:r>
    </w:p>
    <w:p w14:paraId="150ABF26" w14:textId="2556345E" w:rsidR="00881C61" w:rsidRPr="00881C61" w:rsidRDefault="00881C61" w:rsidP="00BA0200">
      <w:pPr>
        <w:pStyle w:val="Odstavecseseznamem"/>
        <w:numPr>
          <w:ilvl w:val="0"/>
          <w:numId w:val="27"/>
        </w:numPr>
        <w:spacing w:line="360" w:lineRule="auto"/>
        <w:rPr>
          <w:rFonts w:cstheme="minorHAnsi"/>
        </w:rPr>
      </w:pPr>
      <w:r w:rsidRPr="00881C61">
        <w:rPr>
          <w:rFonts w:cstheme="minorHAnsi"/>
          <w:b/>
        </w:rPr>
        <w:t>spolky</w:t>
      </w:r>
      <w:r w:rsidRPr="00881C61">
        <w:rPr>
          <w:rFonts w:cstheme="minorHAnsi"/>
        </w:rPr>
        <w:t xml:space="preserve"> zapsané ve spolkovém rejstříku</w:t>
      </w:r>
      <w:r w:rsidRPr="003F0DC7">
        <w:rPr>
          <w:rFonts w:ascii="Arial" w:hAnsi="Arial" w:cs="Arial"/>
        </w:rPr>
        <w:t xml:space="preserve">. </w:t>
      </w:r>
      <w:r w:rsidRPr="003F0DC7">
        <w:rPr>
          <w:rFonts w:ascii="Arial" w:hAnsi="Arial" w:cs="Arial"/>
          <w:b/>
        </w:rPr>
        <w:t xml:space="preserve"> </w:t>
      </w:r>
    </w:p>
    <w:p w14:paraId="1A164851" w14:textId="4F79CAE8" w:rsidR="007146D4" w:rsidRDefault="007146D4" w:rsidP="00BA0200">
      <w:pPr>
        <w:pStyle w:val="Odstavecseseznamem"/>
        <w:numPr>
          <w:ilvl w:val="0"/>
          <w:numId w:val="2"/>
        </w:numPr>
        <w:jc w:val="both"/>
      </w:pPr>
      <w:r>
        <w:t xml:space="preserve">Žadatel musí mít sídlo na území České republiky. </w:t>
      </w:r>
    </w:p>
    <w:p w14:paraId="63E11CA5" w14:textId="11EA0A14" w:rsidR="002E2F8A" w:rsidRDefault="007146D4" w:rsidP="00BA0200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</w:t>
      </w:r>
      <w:r w:rsidR="00881C61">
        <w:t> </w:t>
      </w:r>
      <w:r w:rsidR="002E2F8A">
        <w:t>ostatních projektů)</w:t>
      </w:r>
      <w:r>
        <w:t xml:space="preserve">. </w:t>
      </w:r>
    </w:p>
    <w:p w14:paraId="4E14E23F" w14:textId="2906B08E" w:rsidR="007146D4" w:rsidRDefault="007146D4" w:rsidP="00BA0200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13C61633" w:rsidR="002E2F8A" w:rsidRDefault="002E2F8A" w:rsidP="00BA0200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</w:t>
      </w:r>
      <w:r w:rsidR="00881C61">
        <w:t> </w:t>
      </w:r>
      <w:r>
        <w:t>fyzické osoby, pokud se nejedná o přímou úhradu nákladů spojených s realizací projektu.</w:t>
      </w:r>
    </w:p>
    <w:p w14:paraId="1A740E9D" w14:textId="1918A5A5" w:rsidR="00E448DC" w:rsidRDefault="00E448DC" w:rsidP="00BA0200">
      <w:pPr>
        <w:pStyle w:val="Odstavecseseznamem"/>
        <w:numPr>
          <w:ilvl w:val="0"/>
          <w:numId w:val="2"/>
        </w:numPr>
        <w:jc w:val="both"/>
      </w:pPr>
      <w:r w:rsidRPr="004F2997">
        <w:t>Žadatel může ve výzvě předložit</w:t>
      </w:r>
      <w:r>
        <w:t xml:space="preserve"> maximálně</w:t>
      </w:r>
      <w:r w:rsidR="00881C61">
        <w:t xml:space="preserve"> 3</w:t>
      </w:r>
      <w:r>
        <w:t xml:space="preserve"> projekt</w:t>
      </w:r>
      <w:r w:rsidR="00881C61">
        <w:t>y</w:t>
      </w:r>
      <w:r>
        <w:t>, každý formou samostatné žádosti.</w:t>
      </w:r>
      <w:r w:rsidR="001E6088">
        <w:t xml:space="preserve"> </w:t>
      </w:r>
    </w:p>
    <w:p w14:paraId="716157C7" w14:textId="47D25F68" w:rsidR="002E2F8A" w:rsidRPr="002F6FA0" w:rsidRDefault="002C1D39" w:rsidP="00BA0200">
      <w:pPr>
        <w:pStyle w:val="Odstavecseseznamem"/>
        <w:numPr>
          <w:ilvl w:val="0"/>
          <w:numId w:val="2"/>
        </w:numPr>
        <w:jc w:val="both"/>
      </w:pPr>
      <w:r w:rsidRPr="002F6FA0">
        <w:t>Žádost může podat</w:t>
      </w:r>
      <w:r w:rsidR="002F6FA0">
        <w:t xml:space="preserve"> pouze</w:t>
      </w:r>
      <w:r w:rsidRPr="002F6FA0">
        <w:t xml:space="preserve"> osoba, která je statutárním zástupcem žadatele, nebo </w:t>
      </w:r>
      <w:r w:rsidR="002F6FA0">
        <w:t>osoba k tomu zplnomocněná</w:t>
      </w:r>
      <w:r w:rsidRPr="002F6FA0">
        <w:t xml:space="preserve">. </w:t>
      </w:r>
    </w:p>
    <w:p w14:paraId="3E7156B8" w14:textId="77777777" w:rsidR="00B02A16" w:rsidRPr="002F6FA0" w:rsidRDefault="00B02A16" w:rsidP="004A0CDF">
      <w:pPr>
        <w:jc w:val="both"/>
      </w:pPr>
    </w:p>
    <w:p w14:paraId="1D189A33" w14:textId="6926B776" w:rsidR="0052754F" w:rsidRPr="000036D5" w:rsidRDefault="00B02A16" w:rsidP="007352D3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2" w:name="_Toc174698158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Popis podporovaných aktivit </w:t>
      </w:r>
      <w:bookmarkEnd w:id="2"/>
    </w:p>
    <w:p w14:paraId="5E34A519" w14:textId="77777777" w:rsidR="007352D3" w:rsidRPr="007352D3" w:rsidRDefault="007352D3" w:rsidP="007352D3">
      <w:pPr>
        <w:numPr>
          <w:ilvl w:val="12"/>
          <w:numId w:val="0"/>
        </w:numPr>
        <w:tabs>
          <w:tab w:val="left" w:pos="0"/>
        </w:tabs>
        <w:rPr>
          <w:rFonts w:cstheme="minorHAnsi"/>
        </w:rPr>
      </w:pPr>
      <w:r w:rsidRPr="007352D3">
        <w:rPr>
          <w:rFonts w:cstheme="minorHAnsi"/>
        </w:rPr>
        <w:t xml:space="preserve">Předmětem projektů mohou být buď </w:t>
      </w:r>
      <w:r w:rsidRPr="007352D3">
        <w:rPr>
          <w:rFonts w:cstheme="minorHAnsi"/>
          <w:b/>
        </w:rPr>
        <w:t>jednorázové akce</w:t>
      </w:r>
      <w:r w:rsidRPr="007352D3">
        <w:rPr>
          <w:rFonts w:cstheme="minorHAnsi"/>
        </w:rPr>
        <w:t xml:space="preserve"> (např. koncert, výstava, setkání na poutních místech) nebo </w:t>
      </w:r>
      <w:r w:rsidRPr="007352D3">
        <w:rPr>
          <w:rFonts w:cstheme="minorHAnsi"/>
          <w:b/>
        </w:rPr>
        <w:t>činnosti</w:t>
      </w:r>
      <w:r w:rsidRPr="007352D3">
        <w:rPr>
          <w:rFonts w:cstheme="minorHAnsi"/>
        </w:rPr>
        <w:t xml:space="preserve"> (např. koncertní cykly, pravidelná setkávání duchovně-kulturního charakteru).</w:t>
      </w:r>
    </w:p>
    <w:p w14:paraId="4B56907B" w14:textId="48031A58" w:rsidR="007352D3" w:rsidRPr="007352D3" w:rsidRDefault="007352D3" w:rsidP="007352D3">
      <w:pPr>
        <w:jc w:val="both"/>
        <w:rPr>
          <w:rFonts w:cstheme="minorHAnsi"/>
        </w:rPr>
      </w:pPr>
      <w:r w:rsidRPr="007352D3">
        <w:rPr>
          <w:rFonts w:cstheme="minorHAnsi"/>
        </w:rPr>
        <w:t xml:space="preserve">Vzhledem k omezené výši finančních prostředků budou preferovány </w:t>
      </w:r>
      <w:r w:rsidRPr="007352D3">
        <w:rPr>
          <w:rFonts w:cstheme="minorHAnsi"/>
          <w:b/>
        </w:rPr>
        <w:t>projekty s nadregionální a</w:t>
      </w:r>
      <w:r>
        <w:rPr>
          <w:rFonts w:cstheme="minorHAnsi"/>
          <w:b/>
        </w:rPr>
        <w:t> </w:t>
      </w:r>
      <w:r w:rsidRPr="007352D3">
        <w:rPr>
          <w:rFonts w:cstheme="minorHAnsi"/>
          <w:b/>
        </w:rPr>
        <w:t>celostátní působností</w:t>
      </w:r>
      <w:r w:rsidRPr="007352D3">
        <w:rPr>
          <w:rFonts w:cstheme="minorHAnsi"/>
        </w:rPr>
        <w:t xml:space="preserve"> určené široké veřejnosti, dále pak </w:t>
      </w:r>
      <w:r w:rsidRPr="007352D3">
        <w:rPr>
          <w:rFonts w:cstheme="minorHAnsi"/>
          <w:b/>
        </w:rPr>
        <w:t>akce spojené</w:t>
      </w:r>
      <w:r w:rsidRPr="007352D3">
        <w:rPr>
          <w:rFonts w:cstheme="minorHAnsi"/>
        </w:rPr>
        <w:t xml:space="preserve"> </w:t>
      </w:r>
      <w:r w:rsidRPr="007352D3">
        <w:rPr>
          <w:rFonts w:cstheme="minorHAnsi"/>
          <w:b/>
        </w:rPr>
        <w:t>s významnými výročími</w:t>
      </w:r>
      <w:r w:rsidRPr="007352D3">
        <w:rPr>
          <w:rFonts w:cstheme="minorHAnsi"/>
        </w:rPr>
        <w:t xml:space="preserve">. Podporované budou </w:t>
      </w:r>
      <w:r w:rsidRPr="007352D3">
        <w:rPr>
          <w:rFonts w:cstheme="minorHAnsi"/>
          <w:b/>
        </w:rPr>
        <w:t>pouze akce</w:t>
      </w:r>
      <w:r w:rsidRPr="007352D3">
        <w:rPr>
          <w:rFonts w:cstheme="minorHAnsi"/>
        </w:rPr>
        <w:t xml:space="preserve"> </w:t>
      </w:r>
      <w:r w:rsidRPr="007352D3">
        <w:rPr>
          <w:rFonts w:cstheme="minorHAnsi"/>
          <w:b/>
        </w:rPr>
        <w:t>tzv. živé kultury</w:t>
      </w:r>
      <w:r w:rsidRPr="007352D3">
        <w:rPr>
          <w:rFonts w:cstheme="minorHAnsi"/>
        </w:rPr>
        <w:t xml:space="preserve">; naopak na různé odborné publikace, informační věstníky, časopisy apod. nebude z důvodu omezených finančních prostředků dotace poskytnuta. V rámci výzvy nejsou podporovány aktivity čistě vzdělávacího nebo výzkumného charakteru. </w:t>
      </w:r>
      <w:r w:rsidRPr="007352D3">
        <w:rPr>
          <w:rFonts w:cstheme="minorHAnsi"/>
          <w:b/>
        </w:rPr>
        <w:t>Dotace se poskytují pouze na akce neinvestiční povahy</w:t>
      </w:r>
      <w:r w:rsidRPr="007352D3">
        <w:rPr>
          <w:rFonts w:cstheme="minorHAnsi"/>
        </w:rPr>
        <w:t>.</w:t>
      </w:r>
    </w:p>
    <w:p w14:paraId="314AFB64" w14:textId="5AF089F1" w:rsidR="0052754F" w:rsidRDefault="0052754F" w:rsidP="004A0CDF">
      <w:pPr>
        <w:jc w:val="both"/>
      </w:pPr>
    </w:p>
    <w:p w14:paraId="249AFD9A" w14:textId="77777777" w:rsidR="0038282B" w:rsidRPr="0038282B" w:rsidRDefault="00611A99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469815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14:paraId="68FFC15A" w14:textId="28EEA83F" w:rsidR="004F5998" w:rsidRDefault="004F5998" w:rsidP="00BA0200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4EDC4D0F" w:rsidR="004F5998" w:rsidRDefault="004F5998" w:rsidP="00BA0200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F44389C" w14:textId="533605CB" w:rsidR="00C9628A" w:rsidRPr="00C777AB" w:rsidRDefault="00C9628A" w:rsidP="007377AC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nejvýše do 70 % celkových nákladů projektu. </w:t>
      </w:r>
    </w:p>
    <w:p w14:paraId="5B8ABB7A" w14:textId="77777777" w:rsidR="00C9628A" w:rsidRPr="00C777AB" w:rsidRDefault="00C9628A" w:rsidP="00C9628A">
      <w:pPr>
        <w:pStyle w:val="Odstavecseseznamem"/>
        <w:numPr>
          <w:ilvl w:val="0"/>
          <w:numId w:val="3"/>
        </w:numPr>
        <w:jc w:val="both"/>
      </w:pPr>
      <w:r>
        <w:lastRenderedPageBreak/>
        <w:t>Je-li projekt podpořen z více zdrojů s</w:t>
      </w:r>
      <w:r w:rsidRPr="00C777AB">
        <w:t>tátního rozpočtu</w:t>
      </w:r>
      <w:r>
        <w:t xml:space="preserve">, součet těchto zdrojů opět nesmí přesáhnout </w:t>
      </w:r>
      <w:r w:rsidRPr="00B45DA5">
        <w:t>70 %</w:t>
      </w:r>
      <w:r>
        <w:rPr>
          <w:i/>
        </w:rPr>
        <w:t xml:space="preserve"> </w:t>
      </w:r>
      <w:r w:rsidRPr="00C777AB">
        <w:t>z celkových skutečných nákladů.</w:t>
      </w:r>
    </w:p>
    <w:p w14:paraId="0762DB8A" w14:textId="3043684D" w:rsidR="0038282B" w:rsidRPr="002F22C9" w:rsidRDefault="0038282B" w:rsidP="00BA0200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4"/>
    <w:p w14:paraId="768CEC42" w14:textId="3BE89D9A" w:rsidR="00784B36" w:rsidRDefault="00784B36" w:rsidP="00BA0200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BA0200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3CFA815E" w14:textId="77777777" w:rsidR="00355997" w:rsidRDefault="00355997" w:rsidP="00355997">
      <w:pPr>
        <w:pStyle w:val="Odstavecseseznamem"/>
        <w:jc w:val="both"/>
      </w:pPr>
    </w:p>
    <w:p w14:paraId="5D661CDA" w14:textId="77777777" w:rsidR="00611A99" w:rsidRDefault="00611A99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5" w:name="_Toc174698160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5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615B620A" w:rsidR="00F236ED" w:rsidRPr="00355997" w:rsidRDefault="00355997" w:rsidP="00F236ED">
            <w:r>
              <w:t>0</w:t>
            </w:r>
            <w:r w:rsidR="000F190C">
              <w:t>9</w:t>
            </w:r>
            <w:r>
              <w:t>.09.202</w:t>
            </w:r>
            <w:r w:rsidR="00964588">
              <w:t>5</w:t>
            </w:r>
            <w:r>
              <w:t xml:space="preserve"> 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14:paraId="4FA4BDED" w14:textId="397D289D" w:rsidR="00F236ED" w:rsidRPr="00355997" w:rsidRDefault="00355997" w:rsidP="00F236ED">
            <w:r w:rsidRPr="00355997">
              <w:t>0</w:t>
            </w:r>
            <w:r w:rsidR="000F190C">
              <w:t>9</w:t>
            </w:r>
            <w:r w:rsidRPr="00355997">
              <w:t>.09.202</w:t>
            </w:r>
            <w:r w:rsidR="00964588">
              <w:t>5</w:t>
            </w:r>
            <w:r w:rsidR="00F236ED" w:rsidRPr="00355997">
              <w:t xml:space="preserve"> (</w:t>
            </w:r>
            <w:r w:rsidR="002571A9">
              <w:t>1</w:t>
            </w:r>
            <w:r w:rsidR="000F190C">
              <w:t>3</w:t>
            </w:r>
            <w:r w:rsidRPr="00355997">
              <w:t>:00</w:t>
            </w:r>
            <w:r w:rsidR="00F236ED" w:rsidRPr="00355997">
              <w:t xml:space="preserve"> hod</w:t>
            </w:r>
            <w:r w:rsidR="007655B2" w:rsidRPr="00355997">
              <w:t>.</w:t>
            </w:r>
            <w:r w:rsidR="00F236ED" w:rsidRPr="00355997">
              <w:t>)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479E86CB" w:rsidR="00F236ED" w:rsidRPr="00355997" w:rsidRDefault="00355997" w:rsidP="00F236ED">
            <w:r w:rsidRPr="00355997">
              <w:t>16.10.202</w:t>
            </w:r>
            <w:r w:rsidR="00964588">
              <w:t>5</w:t>
            </w:r>
            <w:r w:rsidR="00F236ED" w:rsidRPr="00355997">
              <w:t xml:space="preserve"> (</w:t>
            </w:r>
            <w:r w:rsidRPr="00355997">
              <w:t>15</w:t>
            </w:r>
            <w:r w:rsidR="00F236ED" w:rsidRPr="00355997">
              <w:t>:</w:t>
            </w:r>
            <w:r w:rsidRPr="00355997">
              <w:t>00</w:t>
            </w:r>
            <w:r w:rsidR="00F236ED" w:rsidRPr="00355997">
              <w:t xml:space="preserve"> hod</w:t>
            </w:r>
            <w:r w:rsidR="007655B2" w:rsidRPr="00355997">
              <w:t>.</w:t>
            </w:r>
            <w:r w:rsidR="00F236ED" w:rsidRPr="00355997">
              <w:t>)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2F286F51" w:rsidR="00F236ED" w:rsidRPr="00355997" w:rsidRDefault="000F190C" w:rsidP="00F236ED">
            <w:r>
              <w:t>31</w:t>
            </w:r>
            <w:r w:rsidR="00F236ED" w:rsidRPr="00355997">
              <w:t>.</w:t>
            </w:r>
            <w:r w:rsidR="00355997">
              <w:t>0</w:t>
            </w:r>
            <w:r>
              <w:t>3</w:t>
            </w:r>
            <w:r w:rsidR="00F236ED" w:rsidRPr="00355997">
              <w:t>.</w:t>
            </w:r>
            <w:r w:rsidR="00355997">
              <w:t>202</w:t>
            </w:r>
            <w:r w:rsidR="00964588">
              <w:t>6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74BE0D4B" w:rsidR="00F236ED" w:rsidRPr="00355997" w:rsidRDefault="00355997" w:rsidP="00F236ED">
            <w:r>
              <w:t>3</w:t>
            </w:r>
            <w:r w:rsidR="000F190C">
              <w:t>0</w:t>
            </w:r>
            <w:r w:rsidR="00F236ED" w:rsidRPr="00355997">
              <w:t>.</w:t>
            </w:r>
            <w:r>
              <w:t>0</w:t>
            </w:r>
            <w:r w:rsidR="000F190C">
              <w:t>4</w:t>
            </w:r>
            <w:r w:rsidR="00F236ED" w:rsidRPr="00355997">
              <w:t>.</w:t>
            </w:r>
            <w:r>
              <w:t>202</w:t>
            </w:r>
            <w:r w:rsidR="00964588">
              <w:t>6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2271ED55" w:rsidR="00F236ED" w:rsidRPr="00355997" w:rsidRDefault="00355997" w:rsidP="00F236ED">
            <w:r>
              <w:t>31.12.202</w:t>
            </w:r>
            <w:r w:rsidR="00964588">
              <w:t>6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1888EE3D" w:rsidR="00F236ED" w:rsidRPr="00355997" w:rsidRDefault="00964588" w:rsidP="00F236ED">
            <w:r>
              <w:t>31</w:t>
            </w:r>
            <w:r w:rsidR="00355997">
              <w:t>.01.202</w:t>
            </w:r>
            <w:r>
              <w:t>7</w:t>
            </w:r>
          </w:p>
        </w:tc>
      </w:tr>
    </w:tbl>
    <w:p w14:paraId="4C54C29E" w14:textId="77777777" w:rsidR="00F236ED" w:rsidRPr="00F236ED" w:rsidRDefault="00F236ED" w:rsidP="00F236ED"/>
    <w:p w14:paraId="6ABB128B" w14:textId="30708E1E" w:rsidR="00611A99" w:rsidRDefault="00611A99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4698161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6"/>
    </w:p>
    <w:p w14:paraId="25C354F6" w14:textId="22AF7594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 než uvedeném termínu pro podání</w:t>
      </w:r>
      <w:r w:rsidR="001A799C">
        <w:t>,</w:t>
      </w:r>
      <w:r w:rsidR="000B4435">
        <w:t xml:space="preserve"> nebudou přijaty k dalšímu zpracování.</w:t>
      </w:r>
    </w:p>
    <w:p w14:paraId="519F1B83" w14:textId="0CD5F538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14:paraId="79C232BC" w14:textId="4FFA2220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14:paraId="59821AF5" w14:textId="0FDE82B6" w:rsidR="004A0CDF" w:rsidRDefault="004A0CDF" w:rsidP="00BA0200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tzv. e-identitu (NIA, více na:</w:t>
      </w:r>
      <w:r w:rsidR="00964588" w:rsidRPr="00964588">
        <w:t xml:space="preserve"> </w:t>
      </w:r>
      <w:hyperlink r:id="rId9" w:history="1">
        <w:r w:rsidR="00964588" w:rsidRPr="003F2DB5">
          <w:rPr>
            <w:rStyle w:val="Hypertextovodkaz"/>
          </w:rPr>
          <w:t>https://www.identita.gov.cz/</w:t>
        </w:r>
      </w:hyperlink>
      <w:r w:rsidR="00964588">
        <w:t xml:space="preserve"> </w:t>
      </w:r>
      <w:r w:rsidR="00961BA3">
        <w:t>)</w:t>
      </w:r>
      <w:r>
        <w:t>, která se váže ke konkrétní fyzické osobě. Prvotní oprávněný uživatel následně zaregistruje žadatele (</w:t>
      </w:r>
      <w:r w:rsidRPr="001A799C">
        <w:t>právnickou osobu</w:t>
      </w:r>
      <w:r w:rsidR="001A799C">
        <w:t>)</w:t>
      </w:r>
      <w:r>
        <w:t>,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14:paraId="470228BC" w14:textId="2464802F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lastRenderedPageBreak/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14:paraId="42866A53" w14:textId="3D02F563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14:paraId="40295649" w14:textId="77777777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1200C8FB" w14:textId="4B4906F0" w:rsidR="00F236ED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5D03CB8F" w:rsidR="00097250" w:rsidRDefault="00097250" w:rsidP="00BA0200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>je žadatel povinen provést snímek obrazovky, ze kterého bude patrná technická závada</w:t>
      </w:r>
      <w:r w:rsidR="00D026AE">
        <w:t>,</w:t>
      </w:r>
      <w:r w:rsidR="0069147A" w:rsidRPr="0069147A">
        <w:t xml:space="preserve">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24D2AD33" w14:textId="77777777" w:rsidR="00082A74" w:rsidRPr="0069147A" w:rsidRDefault="00082A74" w:rsidP="00082A74">
      <w:pPr>
        <w:pStyle w:val="Odstavecseseznamem"/>
        <w:jc w:val="both"/>
      </w:pPr>
    </w:p>
    <w:p w14:paraId="432AF98F" w14:textId="77777777" w:rsidR="004A0CDF" w:rsidRPr="004A0CDF" w:rsidRDefault="00611A99" w:rsidP="0037305B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7" w:name="_Toc174698162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7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4A8A8541" w14:textId="62628818" w:rsidR="004A0CDF" w:rsidRDefault="004A0CDF" w:rsidP="00BA0200">
      <w:pPr>
        <w:pStyle w:val="Odstavecseseznamem"/>
        <w:numPr>
          <w:ilvl w:val="0"/>
          <w:numId w:val="5"/>
        </w:numPr>
      </w:pPr>
      <w:r>
        <w:t xml:space="preserve">Žádost včetně základních údajů o žadateli, </w:t>
      </w:r>
      <w:r w:rsidR="00E42D46">
        <w:t xml:space="preserve">vlastnické struktuře žadatele, </w:t>
      </w:r>
      <w:r>
        <w:t>údajích o projektu, rozpočtu, zdrojů financování a čestného prohlášení vyplněná ve formuláři DPMK.</w:t>
      </w:r>
    </w:p>
    <w:p w14:paraId="3F26E156" w14:textId="5783DFB1" w:rsidR="004A0CDF" w:rsidRPr="000E544E" w:rsidRDefault="000722F4" w:rsidP="00BA020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E544E">
        <w:rPr>
          <w:rFonts w:cstheme="minorHAnsi"/>
        </w:rPr>
        <w:t>Údaje o projektu:</w:t>
      </w:r>
      <w:r w:rsidR="00E7151F" w:rsidRPr="000E544E">
        <w:rPr>
          <w:rFonts w:cstheme="minorHAnsi"/>
        </w:rPr>
        <w:t xml:space="preserve"> </w:t>
      </w:r>
    </w:p>
    <w:p w14:paraId="583755AD" w14:textId="29DF73F6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1.1 </w:t>
      </w:r>
      <w:r w:rsidR="00E42D46" w:rsidRPr="00E7151F">
        <w:t>Anotace projektu</w:t>
      </w:r>
    </w:p>
    <w:p w14:paraId="61BF9F85" w14:textId="0825BDBB" w:rsidR="00E42D46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1.2 </w:t>
      </w:r>
      <w:r w:rsidR="00E42D46" w:rsidRPr="005660B1">
        <w:t>Charakteristika žadatele</w:t>
      </w:r>
    </w:p>
    <w:p w14:paraId="3AEB1014" w14:textId="4E4315C5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2.1 </w:t>
      </w:r>
      <w:r w:rsidR="00E42D46" w:rsidRPr="00E7151F">
        <w:t>Obsah a cíl projektu</w:t>
      </w:r>
    </w:p>
    <w:p w14:paraId="3204E5E0" w14:textId="33D479CF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2.2 </w:t>
      </w:r>
      <w:r w:rsidR="00E42D46" w:rsidRPr="00E7151F">
        <w:t>Soulad projektu s vyhlášenou výzvou</w:t>
      </w:r>
    </w:p>
    <w:p w14:paraId="096ED56D" w14:textId="45655B63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2.3 </w:t>
      </w:r>
      <w:r w:rsidR="000722F4" w:rsidRPr="00E7151F">
        <w:t>Popis reálné připravenosti projektu – zajištění míst</w:t>
      </w:r>
      <w:r w:rsidR="005660B1">
        <w:t>a</w:t>
      </w:r>
      <w:r w:rsidR="000722F4" w:rsidRPr="00E7151F">
        <w:t xml:space="preserve"> realizace, realizátorů, partnerů</w:t>
      </w:r>
    </w:p>
    <w:p w14:paraId="7BFE6427" w14:textId="01335F93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2.4 </w:t>
      </w:r>
      <w:r w:rsidR="00E42D46" w:rsidRPr="00E7151F">
        <w:t xml:space="preserve">Způsob </w:t>
      </w:r>
      <w:r w:rsidR="000722F4" w:rsidRPr="00E7151F">
        <w:t>realizace projektu</w:t>
      </w:r>
    </w:p>
    <w:p w14:paraId="695516CA" w14:textId="274C7ED7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2.5 </w:t>
      </w:r>
      <w:r w:rsidR="000722F4" w:rsidRPr="00E7151F">
        <w:t>Popis cílových skupin projektu</w:t>
      </w:r>
    </w:p>
    <w:p w14:paraId="00582F82" w14:textId="3DA4324C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2.6 </w:t>
      </w:r>
      <w:r w:rsidR="000722F4" w:rsidRPr="00E7151F">
        <w:t>Popis konkrétních výstupů projektu</w:t>
      </w:r>
    </w:p>
    <w:p w14:paraId="1571D594" w14:textId="2ACF2A9C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4.1 </w:t>
      </w:r>
      <w:r w:rsidR="000722F4" w:rsidRPr="00E7151F">
        <w:t>Komentář k rozpočtu, odůvodnění nákladů, nezbytnosti položek v rozpočtu a přiměřenosti a hospodárnosti rozpočtu</w:t>
      </w:r>
    </w:p>
    <w:p w14:paraId="4B1B4670" w14:textId="3975B1D7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4.2 </w:t>
      </w:r>
      <w:r w:rsidR="000722F4" w:rsidRPr="00E7151F">
        <w:t>Komentář k dalším finančním zdrojům projektu</w:t>
      </w:r>
    </w:p>
    <w:p w14:paraId="2FCC7F6F" w14:textId="042DB52B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5.1 </w:t>
      </w:r>
      <w:r w:rsidR="000722F4" w:rsidRPr="00E7151F">
        <w:t>Stručné shrnutí předchozích aktivit žadatele v dané oblasti</w:t>
      </w:r>
    </w:p>
    <w:p w14:paraId="5341823D" w14:textId="295743D6" w:rsidR="000722F4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5.2 </w:t>
      </w:r>
      <w:r w:rsidR="000722F4" w:rsidRPr="005660B1">
        <w:t xml:space="preserve">Celkový časový harmonogram projektu </w:t>
      </w:r>
    </w:p>
    <w:p w14:paraId="132E51DA" w14:textId="63B8D624" w:rsidR="000722F4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5.3 </w:t>
      </w:r>
      <w:r w:rsidR="000722F4" w:rsidRPr="005660B1">
        <w:t xml:space="preserve">Popis společenského ohlasu projektu (pokud má projekt historii) nebo dosavadní činnosti Žadatele </w:t>
      </w:r>
    </w:p>
    <w:p w14:paraId="530518A1" w14:textId="306FD6DE" w:rsidR="00E7151F" w:rsidRPr="000E544E" w:rsidRDefault="00E7151F" w:rsidP="00E7151F">
      <w:pPr>
        <w:ind w:left="360"/>
      </w:pPr>
      <w:r w:rsidRPr="000E544E">
        <w:t xml:space="preserve">c) </w:t>
      </w:r>
      <w:r w:rsidR="000722F4" w:rsidRPr="000E544E">
        <w:t>Indikátor</w:t>
      </w:r>
      <w:r w:rsidRPr="000E544E">
        <w:t>y (</w:t>
      </w:r>
      <w:r w:rsidR="000E544E">
        <w:t>počet prodaných vstupenek</w:t>
      </w:r>
      <w:r w:rsidR="00E606BD">
        <w:t>/</w:t>
      </w:r>
      <w:r w:rsidR="000E544E">
        <w:t>počet návštěvníků</w:t>
      </w:r>
      <w:r w:rsidRPr="000E544E">
        <w:t>)</w:t>
      </w:r>
    </w:p>
    <w:p w14:paraId="506004BE" w14:textId="601DBE11" w:rsidR="000722F4" w:rsidRPr="000E544E" w:rsidRDefault="00E7151F" w:rsidP="00E7151F">
      <w:pPr>
        <w:ind w:left="360"/>
      </w:pPr>
      <w:r w:rsidRPr="000E544E">
        <w:t xml:space="preserve">d) </w:t>
      </w:r>
      <w:r w:rsidR="000722F4" w:rsidRPr="000E544E">
        <w:t>Personální zajištění projektu</w:t>
      </w:r>
    </w:p>
    <w:p w14:paraId="0EA2CBA9" w14:textId="4FA0AD06" w:rsidR="000722F4" w:rsidRPr="000E544E" w:rsidRDefault="00E7151F" w:rsidP="00E7151F">
      <w:pPr>
        <w:ind w:left="360"/>
      </w:pPr>
      <w:r w:rsidRPr="000E544E">
        <w:t xml:space="preserve">e) </w:t>
      </w:r>
      <w:r w:rsidR="000722F4" w:rsidRPr="000E544E">
        <w:t>Spolupracující organizace</w:t>
      </w:r>
    </w:p>
    <w:p w14:paraId="166BD5AF" w14:textId="42CED144" w:rsidR="009E259B" w:rsidRPr="000E544E" w:rsidRDefault="00E7151F" w:rsidP="00E7151F">
      <w:pPr>
        <w:ind w:left="360"/>
      </w:pPr>
      <w:r w:rsidRPr="000E544E">
        <w:t xml:space="preserve">f) </w:t>
      </w:r>
      <w:r w:rsidR="009E259B" w:rsidRPr="000E544E">
        <w:t>Dříve realizované projekty</w:t>
      </w:r>
    </w:p>
    <w:p w14:paraId="41F15265" w14:textId="68943B3A" w:rsidR="009E259B" w:rsidRPr="000E544E" w:rsidRDefault="00E7151F" w:rsidP="00E7151F">
      <w:pPr>
        <w:ind w:left="360"/>
      </w:pPr>
      <w:r w:rsidRPr="000E544E">
        <w:t xml:space="preserve">g) </w:t>
      </w:r>
      <w:r w:rsidR="009E259B" w:rsidRPr="000E544E">
        <w:t>Předchozí dotace a další zdroje příjmů</w:t>
      </w:r>
    </w:p>
    <w:p w14:paraId="61F2D2E4" w14:textId="7CAE0B92" w:rsidR="000722F4" w:rsidRDefault="00E7151F" w:rsidP="00E7151F">
      <w:pPr>
        <w:ind w:left="360"/>
      </w:pPr>
      <w:r w:rsidRPr="00E7151F">
        <w:lastRenderedPageBreak/>
        <w:t xml:space="preserve">h) </w:t>
      </w:r>
      <w:r w:rsidR="009E259B" w:rsidRPr="00E7151F">
        <w:t>Rozpočet</w:t>
      </w:r>
      <w:r>
        <w:t xml:space="preserve"> projektu</w:t>
      </w:r>
    </w:p>
    <w:p w14:paraId="3BFEE5DD" w14:textId="51FCAF3F" w:rsidR="00E7151F" w:rsidRDefault="002D3057" w:rsidP="00E7151F">
      <w:pPr>
        <w:ind w:left="360"/>
      </w:pPr>
      <w:r w:rsidRPr="002D3057">
        <w:t>i) Zdroje financování</w:t>
      </w:r>
    </w:p>
    <w:p w14:paraId="65DBEFEE" w14:textId="41907AD1" w:rsidR="002D3057" w:rsidRDefault="002D3057" w:rsidP="00E7151F">
      <w:pPr>
        <w:ind w:left="360"/>
      </w:pPr>
    </w:p>
    <w:p w14:paraId="3B916BBD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0D4D0DB7" w14:textId="30220B2A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14:paraId="521485B6" w14:textId="09B98120" w:rsidR="001637EA" w:rsidRDefault="002F22C9" w:rsidP="00BA0200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</w:t>
      </w:r>
    </w:p>
    <w:p w14:paraId="2C9B5343" w14:textId="77777777" w:rsidR="00837F0C" w:rsidRDefault="00837F0C" w:rsidP="00837F0C">
      <w:pPr>
        <w:pStyle w:val="Odstavecseseznamem"/>
        <w:spacing w:line="240" w:lineRule="auto"/>
        <w:ind w:left="1080"/>
        <w:jc w:val="both"/>
      </w:pPr>
    </w:p>
    <w:p w14:paraId="6013EB9D" w14:textId="6760FF47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14:paraId="3E4187DC" w14:textId="6562B466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</w:t>
      </w:r>
      <w:r w:rsidR="00837F0C">
        <w:t> </w:t>
      </w:r>
      <w:r>
        <w:t>tisk (v el. evidenci skutečných majitelů se jedná o možnost Přihlásit (vpravo nahoře), nikoli „Vytisknout“ nebo „Stáhnout PDF verzi výpisu“. Po přihlášení datovou schránkou pak lze stáhnout úplný výpis.).</w:t>
      </w:r>
    </w:p>
    <w:p w14:paraId="208F6CBC" w14:textId="77777777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Musí se jednat o úplný výpis, nikoli pouze výpis platných.</w:t>
      </w:r>
    </w:p>
    <w:p w14:paraId="7FD1C5FF" w14:textId="03C19834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14:paraId="0F2E2282" w14:textId="397E93AD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Návod na získání úplného výpisu z ESM je dostupný na webové stránce výzvy.</w:t>
      </w:r>
    </w:p>
    <w:p w14:paraId="47F437E0" w14:textId="77777777" w:rsidR="005D16EC" w:rsidRDefault="005D16EC" w:rsidP="005D16EC">
      <w:pPr>
        <w:pStyle w:val="Odstavecseseznamem"/>
        <w:ind w:left="1080"/>
        <w:jc w:val="both"/>
      </w:pPr>
    </w:p>
    <w:p w14:paraId="7742C078" w14:textId="0E5B5227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14:paraId="0361BF09" w14:textId="77777777" w:rsidR="002F22C9" w:rsidRDefault="002F22C9" w:rsidP="00BA0200">
      <w:pPr>
        <w:pStyle w:val="Odstavecseseznamem"/>
        <w:numPr>
          <w:ilvl w:val="0"/>
          <w:numId w:val="23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14:paraId="7A2DB6BA" w14:textId="65832265" w:rsidR="002F22C9" w:rsidRDefault="002F22C9" w:rsidP="00BA0200">
      <w:pPr>
        <w:pStyle w:val="Odstavecseseznamem"/>
        <w:numPr>
          <w:ilvl w:val="0"/>
          <w:numId w:val="23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14:paraId="56DEC503" w14:textId="6312EA61" w:rsidR="009E259B" w:rsidRPr="009E259B" w:rsidRDefault="009E259B" w:rsidP="0000382E">
      <w:pPr>
        <w:pStyle w:val="Odstavecseseznamem"/>
      </w:pPr>
    </w:p>
    <w:p w14:paraId="3B38E306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154F6382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</w:t>
      </w:r>
      <w:r w:rsidR="00837F0C">
        <w:rPr>
          <w:rFonts w:cstheme="minorHAnsi"/>
          <w:iCs/>
          <w:color w:val="000000"/>
          <w:shd w:val="clear" w:color="auto" w:fill="FFFFFF"/>
        </w:rPr>
        <w:t xml:space="preserve"> 3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žádost</w:t>
      </w:r>
      <w:r w:rsidR="00837F0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lastRenderedPageBreak/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74C9F183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0926D032" w14:textId="75D3D6DD" w:rsidR="002F22C9" w:rsidRPr="00F522DC" w:rsidRDefault="003B2FE3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souhlasí se z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pracování</w:t>
      </w:r>
      <w:r>
        <w:rPr>
          <w:rFonts w:cstheme="minorHAnsi"/>
          <w:iCs/>
          <w:color w:val="000000"/>
          <w:shd w:val="clear" w:color="auto" w:fill="FFFFFF"/>
        </w:rPr>
        <w:t>m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osobních údajů o subjektu údajů (žadateli) pro účely plnění právních povinností souvisejících s hodnocením žádostí o poskytnutí dotace a </w:t>
      </w:r>
      <w:r>
        <w:rPr>
          <w:rFonts w:cstheme="minorHAnsi"/>
          <w:iCs/>
          <w:color w:val="000000"/>
          <w:shd w:val="clear" w:color="auto" w:fill="FFFFFF"/>
        </w:rPr>
        <w:br/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s rozhodnutím o žádosti (zejména zveřejnění ve veřejně přístupném informačním systému Ministerstva financí – </w:t>
      </w:r>
      <w:r w:rsidR="00434940">
        <w:rPr>
          <w:rFonts w:cstheme="minorHAnsi"/>
          <w:iCs/>
          <w:color w:val="000000"/>
          <w:shd w:val="clear" w:color="auto" w:fill="FFFFFF"/>
        </w:rPr>
        <w:t>ZED, nebo EDS/SMVS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apod.) uvedených v této žádosti</w:t>
      </w:r>
      <w:r w:rsidR="00433070">
        <w:rPr>
          <w:rFonts w:cstheme="minorHAnsi"/>
          <w:iCs/>
          <w:color w:val="000000"/>
          <w:shd w:val="clear" w:color="auto" w:fill="FFFFFF"/>
        </w:rPr>
        <w:t>, které 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o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100203C9" w14:textId="43B67B36" w:rsidR="00F522DC" w:rsidRPr="00EE5992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4AA1A660" w14:textId="0D6D32BF" w:rsidR="00EE5992" w:rsidRPr="00B20EB8" w:rsidRDefault="00F83023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Žadatel prohlašuje, že </w:t>
      </w:r>
      <w:r w:rsidRPr="00F83023">
        <w:rPr>
          <w:rFonts w:cstheme="minorHAnsi"/>
          <w:color w:val="000000"/>
          <w:shd w:val="clear" w:color="auto" w:fill="FFFFFF"/>
        </w:rPr>
        <w:t>jeho skutečný majitel není občanem státu nebo nemá bydliště ve státě nebo jurisdikci uvedených na unijním seznamu jurisdikcí nespolupracujících v daňové oblasti schváleném Radou Evropské unie</w:t>
      </w:r>
      <w:r>
        <w:rPr>
          <w:rFonts w:cstheme="minorHAnsi"/>
          <w:color w:val="000000"/>
          <w:shd w:val="clear" w:color="auto" w:fill="FFFFFF"/>
        </w:rPr>
        <w:t xml:space="preserve"> (</w:t>
      </w:r>
      <w:r w:rsidR="002F0E07">
        <w:rPr>
          <w:rFonts w:cstheme="minorHAnsi"/>
          <w:color w:val="000000"/>
          <w:shd w:val="clear" w:color="auto" w:fill="FFFFFF"/>
        </w:rPr>
        <w:t xml:space="preserve">viz </w:t>
      </w:r>
      <w:r>
        <w:rPr>
          <w:rFonts w:cstheme="minorHAnsi"/>
          <w:color w:val="000000"/>
          <w:shd w:val="clear" w:color="auto" w:fill="FFFFFF"/>
        </w:rPr>
        <w:t>§</w:t>
      </w:r>
      <w:r w:rsidR="00FE6D2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14 odst. 3 písm. e) bod 4</w:t>
      </w:r>
      <w:r w:rsidR="00B20EB8">
        <w:rPr>
          <w:rFonts w:cstheme="minorHAnsi"/>
          <w:color w:val="000000"/>
          <w:shd w:val="clear" w:color="auto" w:fill="FFFFFF"/>
        </w:rPr>
        <w:t xml:space="preserve"> rozpočtových pravidel</w:t>
      </w:r>
      <w:r>
        <w:rPr>
          <w:rFonts w:cstheme="minorHAnsi"/>
          <w:color w:val="000000"/>
          <w:shd w:val="clear" w:color="auto" w:fill="FFFFFF"/>
        </w:rPr>
        <w:t>).</w:t>
      </w:r>
    </w:p>
    <w:p w14:paraId="5E371547" w14:textId="31407047" w:rsidR="00B20EB8" w:rsidRPr="00B20EB8" w:rsidRDefault="00B20EB8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 xml:space="preserve">Žadatel, </w:t>
      </w:r>
      <w:r w:rsidRPr="00B20EB8">
        <w:rPr>
          <w:rFonts w:cstheme="minorHAnsi"/>
          <w:color w:val="000000"/>
          <w:shd w:val="clear" w:color="auto" w:fill="FFFFFF"/>
        </w:rPr>
        <w:t xml:space="preserve">u kterého existuje struktura vztahů podle zákona upravujícího evidenci skutečných majitelů, ve které vystupují zahraniční právnické osoby nebo zahraniční právní uspořádání, </w:t>
      </w:r>
      <w:r>
        <w:rPr>
          <w:rFonts w:cstheme="minorHAnsi"/>
          <w:color w:val="000000"/>
          <w:shd w:val="clear" w:color="auto" w:fill="FFFFFF"/>
        </w:rPr>
        <w:t xml:space="preserve">prohlašuje, </w:t>
      </w:r>
      <w:r w:rsidRPr="00B20EB8">
        <w:rPr>
          <w:rFonts w:cstheme="minorHAnsi"/>
          <w:color w:val="000000"/>
          <w:shd w:val="clear" w:color="auto" w:fill="FFFFFF"/>
        </w:rPr>
        <w:t>že právnické osoby nebo právní upořádání ve struktuře vztahů nesídlí nebo v</w:t>
      </w:r>
      <w:r>
        <w:rPr>
          <w:rFonts w:cstheme="minorHAnsi"/>
          <w:color w:val="000000"/>
          <w:shd w:val="clear" w:color="auto" w:fill="FFFFFF"/>
        </w:rPr>
        <w:t> </w:t>
      </w:r>
      <w:r w:rsidRPr="00B20EB8">
        <w:rPr>
          <w:rFonts w:cstheme="minorHAnsi"/>
          <w:color w:val="000000"/>
          <w:shd w:val="clear" w:color="auto" w:fill="FFFFFF"/>
        </w:rPr>
        <w:t>případě právních uspořádání nejsou spravovány ve státě či jurisdikci uvedených na seznamu podle </w:t>
      </w:r>
      <w:hyperlink r:id="rId10" w:history="1"/>
      <w:r>
        <w:rPr>
          <w:rFonts w:cstheme="minorHAnsi"/>
          <w:color w:val="000000"/>
          <w:shd w:val="clear" w:color="auto" w:fill="FFFFFF"/>
        </w:rPr>
        <w:t>písm. m) (</w:t>
      </w:r>
      <w:r w:rsidR="002F0E07">
        <w:rPr>
          <w:rFonts w:cstheme="minorHAnsi"/>
          <w:color w:val="000000"/>
          <w:shd w:val="clear" w:color="auto" w:fill="FFFFFF"/>
        </w:rPr>
        <w:t xml:space="preserve">viz </w:t>
      </w:r>
      <w:r>
        <w:rPr>
          <w:rFonts w:cstheme="minorHAnsi"/>
          <w:color w:val="000000"/>
          <w:shd w:val="clear" w:color="auto" w:fill="FFFFFF"/>
        </w:rPr>
        <w:t>§</w:t>
      </w:r>
      <w:r w:rsidR="00FE6D2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14 odst. 3 písm. </w:t>
      </w:r>
      <w:bookmarkStart w:id="8" w:name="_GoBack"/>
      <w:bookmarkEnd w:id="8"/>
      <w:r>
        <w:rPr>
          <w:rFonts w:cstheme="minorHAnsi"/>
          <w:color w:val="000000"/>
          <w:shd w:val="clear" w:color="auto" w:fill="FFFFFF"/>
        </w:rPr>
        <w:t>e) bod 5 rozpočtových pravidel).</w:t>
      </w:r>
    </w:p>
    <w:p w14:paraId="404AB81F" w14:textId="77777777" w:rsidR="00837F0C" w:rsidRPr="003B2FE3" w:rsidRDefault="00837F0C" w:rsidP="00837F0C">
      <w:pPr>
        <w:pStyle w:val="Odstavecseseznamem"/>
        <w:spacing w:after="0" w:line="360" w:lineRule="auto"/>
        <w:jc w:val="both"/>
        <w:rPr>
          <w:rFonts w:cstheme="minorHAnsi"/>
        </w:rPr>
      </w:pPr>
    </w:p>
    <w:p w14:paraId="5F1ACF09" w14:textId="77777777" w:rsidR="000036D5" w:rsidRDefault="000036D5" w:rsidP="005346F8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9" w:name="_Toc174698163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9"/>
    </w:p>
    <w:p w14:paraId="22857519" w14:textId="6B5D3CBE" w:rsidR="009E259B" w:rsidRPr="0000382E" w:rsidRDefault="009E259B" w:rsidP="00BA0200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do </w:t>
      </w:r>
      <w:r w:rsidR="00837F0C">
        <w:t>31.12.202</w:t>
      </w:r>
      <w:r w:rsidR="003A0A68">
        <w:t>6</w:t>
      </w:r>
      <w:r w:rsidR="00837F0C">
        <w:t>.</w:t>
      </w:r>
    </w:p>
    <w:p w14:paraId="74E9F7FA" w14:textId="0693F858" w:rsidR="002B2CC7" w:rsidRPr="00E606BD" w:rsidRDefault="002B2CC7" w:rsidP="00BA0200">
      <w:pPr>
        <w:pStyle w:val="Odstavecseseznamem"/>
        <w:numPr>
          <w:ilvl w:val="0"/>
          <w:numId w:val="7"/>
        </w:numPr>
        <w:jc w:val="both"/>
      </w:pPr>
      <w:r w:rsidRPr="00E606BD">
        <w:t>Podpořené projekty musí být realizovány na území České republiky</w:t>
      </w:r>
      <w:r w:rsidR="00735DE3" w:rsidRPr="00E606BD">
        <w:t xml:space="preserve"> (výjimkou jsou náboženské poutě začínající na území ČR, s cílem mimo území ČR)</w:t>
      </w:r>
      <w:r w:rsidRPr="00E606BD">
        <w:t>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0" w:name="_Toc174698164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0"/>
    </w:p>
    <w:p w14:paraId="07E2D808" w14:textId="79687642" w:rsidR="00B41165" w:rsidRDefault="00B41165" w:rsidP="00BA0200">
      <w:pPr>
        <w:pStyle w:val="Odstavecseseznamem"/>
        <w:numPr>
          <w:ilvl w:val="0"/>
          <w:numId w:val="8"/>
        </w:numPr>
        <w:jc w:val="both"/>
      </w:pPr>
      <w:r>
        <w:t>Způsobilé náklady projektu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1290362E" w:rsidR="00B41165" w:rsidRDefault="00B41165" w:rsidP="00BA0200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v</w:t>
      </w:r>
      <w:r w:rsidR="001D2754">
        <w:t> </w:t>
      </w:r>
      <w:r>
        <w:t>období</w:t>
      </w:r>
      <w:r w:rsidR="001D2754">
        <w:t xml:space="preserve"> od</w:t>
      </w:r>
      <w:r w:rsidR="0060726E">
        <w:t> </w:t>
      </w:r>
      <w:r w:rsidR="001D2754">
        <w:t>01.01</w:t>
      </w:r>
      <w:r w:rsidRPr="001D2754">
        <w:t>.</w:t>
      </w:r>
      <w:r w:rsidR="001D2754" w:rsidRPr="001D2754">
        <w:t>202</w:t>
      </w:r>
      <w:r w:rsidR="003A0A68">
        <w:t>6</w:t>
      </w:r>
      <w:r w:rsidR="001D2754">
        <w:t xml:space="preserve"> do 31.12.202</w:t>
      </w:r>
      <w:r w:rsidR="003A0A68">
        <w:t>6</w:t>
      </w:r>
      <w:r w:rsidR="00F00CC1">
        <w:t xml:space="preserve">, na které byla dotace poskytnuta, </w:t>
      </w:r>
      <w:r w:rsidR="0060726E">
        <w:t>včetně</w:t>
      </w:r>
      <w:r w:rsidR="00F00CC1">
        <w:t xml:space="preserve"> výdajů, které s tímto obdobím souvisejí.</w:t>
      </w:r>
    </w:p>
    <w:p w14:paraId="1D4A7C1A" w14:textId="2D763126" w:rsidR="00B41165" w:rsidRPr="00285DFF" w:rsidRDefault="00B41165" w:rsidP="00BA0200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</w:t>
      </w:r>
      <w:r w:rsidRPr="00285DFF">
        <w:t xml:space="preserve">Mzdy a odměny z dohod o provedení práce a z dohod </w:t>
      </w:r>
      <w:r w:rsidR="00C22858" w:rsidRPr="00285DFF">
        <w:br/>
      </w:r>
      <w:r w:rsidRPr="00285DFF">
        <w:t>o pracovní činnosti lze hradit, v souladu se zákonem č. 262/2006 Sb., zákoník práce, v platném znění, nejpozději do</w:t>
      </w:r>
      <w:r w:rsidR="0060726E" w:rsidRPr="00285DFF">
        <w:t xml:space="preserve"> 31.01.202</w:t>
      </w:r>
      <w:r w:rsidR="003A0A68">
        <w:t>7</w:t>
      </w:r>
      <w:r w:rsidRPr="00285DFF">
        <w:t xml:space="preserve">, stejně jako související zákonné odvody. </w:t>
      </w:r>
    </w:p>
    <w:p w14:paraId="69D61598" w14:textId="0D9E43FA" w:rsidR="00B41165" w:rsidRDefault="00CA4017" w:rsidP="00BA0200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2FFA6E9A" w14:textId="2D5C667A" w:rsidR="007D244C" w:rsidRDefault="007D244C" w:rsidP="00BA0200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projektu:</w:t>
      </w:r>
    </w:p>
    <w:p w14:paraId="1A9FB607" w14:textId="76E3B854" w:rsidR="0060726E" w:rsidRP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Honoráře a ostatní osobní náklady</w:t>
      </w:r>
    </w:p>
    <w:p w14:paraId="15A927F9" w14:textId="299F96FC" w:rsid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 xml:space="preserve">Nájemné </w:t>
      </w:r>
    </w:p>
    <w:p w14:paraId="6A701C22" w14:textId="668FD60C" w:rsid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Propagace</w:t>
      </w:r>
    </w:p>
    <w:p w14:paraId="4F7E9ED5" w14:textId="58222116" w:rsidR="0060726E" w:rsidRP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a další přímé náklady na projekt</w:t>
      </w:r>
      <w:r w:rsidR="000E3CF9">
        <w:t>.</w:t>
      </w:r>
    </w:p>
    <w:p w14:paraId="65FDD1C5" w14:textId="77777777" w:rsidR="0060726E" w:rsidRPr="0060726E" w:rsidRDefault="0060726E" w:rsidP="0060726E">
      <w:pPr>
        <w:pStyle w:val="Odstavecseseznamem"/>
        <w:ind w:left="1068"/>
        <w:jc w:val="both"/>
      </w:pPr>
    </w:p>
    <w:p w14:paraId="75DF3012" w14:textId="1CAD8F98" w:rsidR="000036D5" w:rsidRDefault="000036D5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1" w:name="_Toc174698165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1"/>
    </w:p>
    <w:p w14:paraId="0435E0DD" w14:textId="530B9499" w:rsidR="007D244C" w:rsidRDefault="007D244C" w:rsidP="00BA0200">
      <w:pPr>
        <w:pStyle w:val="Odstavecseseznamem"/>
        <w:numPr>
          <w:ilvl w:val="0"/>
          <w:numId w:val="10"/>
        </w:numPr>
        <w:jc w:val="both"/>
      </w:pPr>
      <w:r>
        <w:t>Dotaci nelze poskytnout na:</w:t>
      </w:r>
    </w:p>
    <w:p w14:paraId="05FDB4A1" w14:textId="56B7C5F7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Aktivity, které neodpovídají zaměření programu a podmínkám příslušné výzvy</w:t>
      </w:r>
      <w:r w:rsidR="00C0149C">
        <w:t>.</w:t>
      </w:r>
    </w:p>
    <w:p w14:paraId="31E91586" w14:textId="55EB724C" w:rsidR="001802C9" w:rsidRDefault="007D244C" w:rsidP="00BA0200">
      <w:pPr>
        <w:pStyle w:val="Odstavecseseznamem"/>
        <w:numPr>
          <w:ilvl w:val="0"/>
          <w:numId w:val="1"/>
        </w:numPr>
        <w:jc w:val="both"/>
      </w:pPr>
      <w:r>
        <w:t>Běžné provozní výdaje žadatele nesouvisející s realizací projektu</w:t>
      </w:r>
      <w:r w:rsidR="001802C9">
        <w:t xml:space="preserve">. </w:t>
      </w:r>
      <w:r w:rsidR="001802C9" w:rsidRPr="000A6B4B">
        <w:t>Na úhradu nepřímých (režijních) nákladů (např. na nájem kancelářských prostor, nákup kancelářských potřeb, poštovné, telefony, poplatky za fax, internet, náklady na autoprovoz, účetní služby související s realizací projektu a další nepřímé náklady) může příjemce použít maximálně částku 10 % z poskytnuté dotace.</w:t>
      </w:r>
    </w:p>
    <w:p w14:paraId="5F4F988E" w14:textId="21472306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Udílení věcných nebo finančních ocenění</w:t>
      </w:r>
      <w:r w:rsidR="00C0149C">
        <w:t>.</w:t>
      </w:r>
    </w:p>
    <w:p w14:paraId="0CC29C58" w14:textId="55E25621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Zpracování projektu</w:t>
      </w:r>
      <w:r w:rsidR="00C0149C">
        <w:t>.</w:t>
      </w:r>
    </w:p>
    <w:p w14:paraId="71062A30" w14:textId="326F8A32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Bankovní poplatky</w:t>
      </w:r>
      <w:r w:rsidR="00C0149C">
        <w:t>.</w:t>
      </w:r>
    </w:p>
    <w:p w14:paraId="7C156FA9" w14:textId="5D9BDF68" w:rsidR="00C0149C" w:rsidRDefault="00C0149C" w:rsidP="00BA0200">
      <w:pPr>
        <w:pStyle w:val="Odstavecseseznamem"/>
        <w:numPr>
          <w:ilvl w:val="0"/>
          <w:numId w:val="1"/>
        </w:numPr>
        <w:jc w:val="both"/>
      </w:pPr>
      <w:r>
        <w:t>Občerstvení.</w:t>
      </w:r>
    </w:p>
    <w:p w14:paraId="3FD66DFA" w14:textId="25E4AEF5" w:rsidR="00C0149C" w:rsidRDefault="00C0149C" w:rsidP="00BA0200">
      <w:pPr>
        <w:pStyle w:val="Odstavecseseznamem"/>
        <w:numPr>
          <w:ilvl w:val="0"/>
          <w:numId w:val="1"/>
        </w:numPr>
        <w:jc w:val="both"/>
      </w:pPr>
      <w:r>
        <w:t>Pohonné hmoty.</w:t>
      </w:r>
    </w:p>
    <w:p w14:paraId="4FEA0597" w14:textId="25E81CC6" w:rsidR="001802C9" w:rsidRPr="001802C9" w:rsidRDefault="001802C9" w:rsidP="00BA0200">
      <w:pPr>
        <w:pStyle w:val="Odstavecseseznamem"/>
        <w:numPr>
          <w:ilvl w:val="0"/>
          <w:numId w:val="1"/>
        </w:numPr>
        <w:jc w:val="both"/>
      </w:pPr>
      <w:r w:rsidRPr="001802C9">
        <w:t>Dary</w:t>
      </w:r>
      <w:r>
        <w:t>.</w:t>
      </w:r>
    </w:p>
    <w:p w14:paraId="39F6F5AD" w14:textId="72F0BDCB" w:rsidR="007D244C" w:rsidRDefault="001802C9" w:rsidP="00BA0200">
      <w:pPr>
        <w:pStyle w:val="Odstavecseseznamem"/>
        <w:numPr>
          <w:ilvl w:val="0"/>
          <w:numId w:val="1"/>
        </w:numPr>
        <w:jc w:val="both"/>
      </w:pPr>
      <w:r>
        <w:t>Vyškolení personálu</w:t>
      </w:r>
      <w:r w:rsidR="00DB45AF" w:rsidRPr="001802C9">
        <w:t>.</w:t>
      </w:r>
    </w:p>
    <w:p w14:paraId="18AE16D3" w14:textId="75AB08EE" w:rsidR="00013840" w:rsidRDefault="00013840" w:rsidP="00013840">
      <w:pPr>
        <w:pStyle w:val="Odstavecseseznamem"/>
        <w:spacing w:after="0" w:line="276" w:lineRule="auto"/>
        <w:ind w:left="1068"/>
        <w:jc w:val="both"/>
      </w:pPr>
    </w:p>
    <w:p w14:paraId="3D827ECF" w14:textId="77777777" w:rsidR="004931FE" w:rsidRPr="001802C9" w:rsidRDefault="004931FE" w:rsidP="00013840">
      <w:pPr>
        <w:pStyle w:val="Odstavecseseznamem"/>
        <w:spacing w:after="0" w:line="276" w:lineRule="auto"/>
        <w:ind w:left="1068"/>
        <w:jc w:val="both"/>
      </w:pPr>
    </w:p>
    <w:p w14:paraId="3644DE37" w14:textId="13FD3193" w:rsidR="00C84F5E" w:rsidRPr="00F522DC" w:rsidRDefault="000036D5" w:rsidP="004931FE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2" w:name="_Toc174698166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2"/>
    </w:p>
    <w:p w14:paraId="5C3A27A8" w14:textId="69DED7FE" w:rsidR="007D244C" w:rsidRDefault="007D244C" w:rsidP="00BA0200">
      <w:pPr>
        <w:pStyle w:val="Odstavecseseznamem"/>
        <w:numPr>
          <w:ilvl w:val="0"/>
          <w:numId w:val="11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touto výzvou. </w:t>
      </w:r>
    </w:p>
    <w:p w14:paraId="5F98F47B" w14:textId="012B2A15" w:rsidR="00F03BEC" w:rsidRPr="00AA0481" w:rsidRDefault="007D244C" w:rsidP="00BA0200">
      <w:pPr>
        <w:pStyle w:val="Odstavecseseznamem"/>
        <w:numPr>
          <w:ilvl w:val="0"/>
          <w:numId w:val="11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AA0481">
        <w:t>Trpí-li žádost o poskytnutí dotace vadami, vyzve MK</w:t>
      </w:r>
      <w:r w:rsidR="000B29C4" w:rsidRPr="00AA0481">
        <w:t>ČR</w:t>
      </w:r>
      <w:r w:rsidR="00F03BEC" w:rsidRPr="00AA0481">
        <w:t xml:space="preserve"> žadatele o dotaci </w:t>
      </w:r>
      <w:r w:rsidR="000B29C4" w:rsidRPr="00AA0481">
        <w:t xml:space="preserve">prostřednictvím DPMK </w:t>
      </w:r>
      <w:r w:rsidR="00F03BEC" w:rsidRPr="00AA0481">
        <w:t>k odstranění vad</w:t>
      </w:r>
      <w:r w:rsidR="00AA0481" w:rsidRPr="00AA0481">
        <w:t>.</w:t>
      </w:r>
      <w:r w:rsidR="00F03BEC" w:rsidRPr="00AA0481">
        <w:t xml:space="preserve"> </w:t>
      </w:r>
      <w:r w:rsidR="00AA0481" w:rsidRPr="00AA0481">
        <w:t>K</w:t>
      </w:r>
      <w:r w:rsidR="00F03BEC" w:rsidRPr="00AA0481">
        <w:t xml:space="preserve"> tomu mu poskytne přiměřenou lhůtu</w:t>
      </w:r>
      <w:r w:rsidR="00995C79" w:rsidRPr="00AA0481">
        <w:t>, kterou může MKČR přiměřeně prodloužit, jsou-li k tomu závažné objektivní důvody</w:t>
      </w:r>
      <w:r w:rsidR="00F03BEC" w:rsidRPr="00AA0481">
        <w:t xml:space="preserve">. </w:t>
      </w:r>
    </w:p>
    <w:p w14:paraId="01BDAA75" w14:textId="20009EA4" w:rsidR="007D244C" w:rsidRDefault="00F03BEC" w:rsidP="00BA0200">
      <w:pPr>
        <w:pStyle w:val="Odstavecseseznamem"/>
        <w:numPr>
          <w:ilvl w:val="0"/>
          <w:numId w:val="11"/>
        </w:numPr>
        <w:jc w:val="both"/>
      </w:pPr>
      <w:r w:rsidRPr="00AA0481">
        <w:t>Pokud žadatel neodstraní vady žádosti ve stanovené lhůtě, nebude jeho žádost předložena dotační výběrové komisi k následnému hodnocení a řízení o ní bude zastaveno</w:t>
      </w:r>
      <w:r>
        <w:t xml:space="preserve">. </w:t>
      </w:r>
    </w:p>
    <w:p w14:paraId="59CD7869" w14:textId="167DC3AF" w:rsidR="00F03BEC" w:rsidRDefault="00F03BEC" w:rsidP="00BA0200">
      <w:pPr>
        <w:pStyle w:val="Odstavecseseznamem"/>
        <w:numPr>
          <w:ilvl w:val="0"/>
          <w:numId w:val="11"/>
        </w:numPr>
        <w:jc w:val="both"/>
      </w:pPr>
      <w:r>
        <w:t>Při kontrole úplnosti a formální správnosti se zejména ověřuje:</w:t>
      </w:r>
    </w:p>
    <w:p w14:paraId="71C8D235" w14:textId="3518C3D0" w:rsidR="00F03BEC" w:rsidRDefault="001A6D3A" w:rsidP="00BA0200">
      <w:pPr>
        <w:pStyle w:val="Odstavecseseznamem"/>
        <w:numPr>
          <w:ilvl w:val="0"/>
          <w:numId w:val="12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14:paraId="642373AC" w14:textId="121CC241" w:rsidR="009446C8" w:rsidRDefault="000C36C6" w:rsidP="00BA0200">
      <w:pPr>
        <w:pStyle w:val="Odstavecseseznamem"/>
        <w:numPr>
          <w:ilvl w:val="0"/>
          <w:numId w:val="12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14:paraId="3875F78F" w14:textId="7454FA39" w:rsidR="009446C8" w:rsidRDefault="000C36C6" w:rsidP="00BA0200">
      <w:pPr>
        <w:pStyle w:val="Odstavecseseznamem"/>
        <w:numPr>
          <w:ilvl w:val="0"/>
          <w:numId w:val="12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14:paraId="65E68F66" w14:textId="77777777" w:rsidR="00AA0481" w:rsidRPr="00AA0481" w:rsidRDefault="00AA0481" w:rsidP="00BA0200">
      <w:pPr>
        <w:pStyle w:val="Odstavecseseznamem"/>
        <w:numPr>
          <w:ilvl w:val="0"/>
          <w:numId w:val="12"/>
        </w:numPr>
        <w:jc w:val="both"/>
      </w:pPr>
      <w:r w:rsidRPr="00AA0481">
        <w:t>Zda je žádost v souladu s věcným zaměřením výzvy.</w:t>
      </w:r>
    </w:p>
    <w:p w14:paraId="47FFF06D" w14:textId="172B8328" w:rsidR="000C36C6" w:rsidRDefault="000C36C6" w:rsidP="00BA0200">
      <w:pPr>
        <w:pStyle w:val="Odstavecseseznamem"/>
        <w:numPr>
          <w:ilvl w:val="0"/>
          <w:numId w:val="11"/>
        </w:numPr>
        <w:jc w:val="both"/>
      </w:pPr>
      <w:r>
        <w:t>Není-li žadatel oprávněným žadatelem, nebo nesplňuje-li žádost podmínky dané výzvy, MK</w:t>
      </w:r>
      <w:r w:rsidR="00C62EEB">
        <w:t>ČR</w:t>
      </w:r>
      <w:r>
        <w:t xml:space="preserve"> řízení o žádosti zastaví prostřednictvím usnesení o zastavení řízení. </w:t>
      </w:r>
    </w:p>
    <w:p w14:paraId="1E0480C6" w14:textId="0396E77D" w:rsidR="00F522DC" w:rsidRDefault="000C36C6" w:rsidP="00BA0200">
      <w:pPr>
        <w:pStyle w:val="Odstavecseseznamem"/>
        <w:numPr>
          <w:ilvl w:val="0"/>
          <w:numId w:val="11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000036D5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3" w:name="_Toc174698167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3"/>
    </w:p>
    <w:p w14:paraId="25DC9279" w14:textId="4338BB52" w:rsidR="00C84F5E" w:rsidRDefault="00C84F5E" w:rsidP="005346F8">
      <w:pPr>
        <w:pStyle w:val="Odstavecseseznamem"/>
        <w:ind w:left="426"/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14:paraId="36D6CB45" w14:textId="0F32DB47" w:rsidR="00BB4D95" w:rsidRDefault="00BB4D95" w:rsidP="00BB4D95"/>
    <w:p w14:paraId="70E52F74" w14:textId="0B186F7B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421"/>
        <w:gridCol w:w="6663"/>
        <w:gridCol w:w="1979"/>
      </w:tblGrid>
      <w:tr w:rsidR="00447247" w14:paraId="57663C8A" w14:textId="77777777" w:rsidTr="00227E90">
        <w:tc>
          <w:tcPr>
            <w:tcW w:w="7084" w:type="dxa"/>
            <w:gridSpan w:val="2"/>
          </w:tcPr>
          <w:p w14:paraId="2E437625" w14:textId="260ACBFB"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t>Kritérium hodnocení</w:t>
            </w:r>
          </w:p>
          <w:p w14:paraId="379D83AA" w14:textId="52A04DEF"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14:paraId="30D0DACA" w14:textId="13B8043F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227E90">
        <w:trPr>
          <w:trHeight w:val="890"/>
        </w:trPr>
        <w:tc>
          <w:tcPr>
            <w:tcW w:w="421" w:type="dxa"/>
          </w:tcPr>
          <w:p w14:paraId="082D6D14" w14:textId="4F1E3111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1.</w:t>
            </w:r>
          </w:p>
        </w:tc>
        <w:tc>
          <w:tcPr>
            <w:tcW w:w="6662" w:type="dxa"/>
          </w:tcPr>
          <w:p w14:paraId="54E52F86" w14:textId="77777777" w:rsidR="00447247" w:rsidRDefault="00701609" w:rsidP="00B22FDE">
            <w:r w:rsidRPr="00701609">
              <w:rPr>
                <w:b/>
              </w:rPr>
              <w:t>Hodnocení dosavadní činnosti žadatele (kredibilita)</w:t>
            </w:r>
            <w:r w:rsidRPr="00701609">
              <w:t xml:space="preserve"> </w:t>
            </w:r>
          </w:p>
          <w:p w14:paraId="6926AC4D" w14:textId="0FC1E2BC" w:rsidR="00701609" w:rsidRDefault="00701609" w:rsidP="00701609">
            <w:pPr>
              <w:tabs>
                <w:tab w:val="left" w:pos="0"/>
              </w:tabs>
            </w:pPr>
            <w:r w:rsidRPr="00FE66E6">
              <w:t xml:space="preserve">Tato rovina zahrnuje především </w:t>
            </w:r>
            <w:r>
              <w:t xml:space="preserve">hodnocení kvality a společenské prospěšnosti </w:t>
            </w:r>
            <w:r w:rsidRPr="00FE66E6">
              <w:t>dosavadní činnosti žadatele</w:t>
            </w:r>
            <w:r>
              <w:t xml:space="preserve">. </w:t>
            </w:r>
          </w:p>
          <w:p w14:paraId="0BACFB8A" w14:textId="1A335171" w:rsidR="00701609" w:rsidRDefault="00701609" w:rsidP="00701609">
            <w:r>
              <w:t>V případě, že subjekt realizoval již dříve projekt, jenž byl podpořen z rozpočtu MK</w:t>
            </w:r>
            <w:r w:rsidR="00227E90">
              <w:t>ČR</w:t>
            </w:r>
            <w:r>
              <w:t xml:space="preserve">, je v této rovině hodnocen i daný projekt/projekty. </w:t>
            </w:r>
          </w:p>
          <w:p w14:paraId="51BE3DCE" w14:textId="4F99A895" w:rsidR="00701609" w:rsidRPr="00701609" w:rsidRDefault="00701609" w:rsidP="00B22FDE"/>
        </w:tc>
        <w:tc>
          <w:tcPr>
            <w:tcW w:w="1979" w:type="dxa"/>
          </w:tcPr>
          <w:p w14:paraId="0A55E1C1" w14:textId="0EF28DB1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15</w:t>
            </w:r>
          </w:p>
        </w:tc>
      </w:tr>
      <w:tr w:rsidR="00447247" w14:paraId="19953113" w14:textId="77777777" w:rsidTr="00227E90">
        <w:trPr>
          <w:trHeight w:val="988"/>
        </w:trPr>
        <w:tc>
          <w:tcPr>
            <w:tcW w:w="421" w:type="dxa"/>
          </w:tcPr>
          <w:p w14:paraId="0A38E09A" w14:textId="303AD72C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2.</w:t>
            </w:r>
          </w:p>
        </w:tc>
        <w:tc>
          <w:tcPr>
            <w:tcW w:w="6662" w:type="dxa"/>
          </w:tcPr>
          <w:p w14:paraId="3E9864C2" w14:textId="77777777" w:rsidR="00447247" w:rsidRDefault="00701609" w:rsidP="00B22FDE">
            <w:pPr>
              <w:rPr>
                <w:b/>
                <w:bCs/>
              </w:rPr>
            </w:pPr>
            <w:r w:rsidRPr="00701609">
              <w:rPr>
                <w:b/>
                <w:bCs/>
              </w:rPr>
              <w:t>Kvalita předkládaného projektu</w:t>
            </w:r>
          </w:p>
          <w:p w14:paraId="28AB95C9" w14:textId="77777777" w:rsidR="00227E90" w:rsidRPr="00227E90" w:rsidRDefault="00227E90" w:rsidP="00227E9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7E90">
              <w:rPr>
                <w:rFonts w:asciiTheme="minorHAnsi" w:hAnsiTheme="minorHAnsi" w:cstheme="minorHAnsi"/>
                <w:sz w:val="22"/>
                <w:szCs w:val="22"/>
              </w:rPr>
              <w:t>V této rovině jsou posuzována a hodnocena následující kritéria projektu:</w:t>
            </w:r>
          </w:p>
          <w:p w14:paraId="599E0554" w14:textId="77777777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geografický rozměr akce (význam akce je celostátní x regionální x lokální)</w:t>
            </w:r>
          </w:p>
          <w:p w14:paraId="1E3F4208" w14:textId="77777777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tradice a charakter akce (např. ekumenický charakter akce, jakou má akce tradici)</w:t>
            </w:r>
          </w:p>
          <w:p w14:paraId="7BD4F090" w14:textId="05C16D13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cílová skupina a přínos (zaměření na nejširší veřejnost x na</w:t>
            </w:r>
            <w:r>
              <w:rPr>
                <w:rFonts w:cstheme="minorHAnsi"/>
              </w:rPr>
              <w:t> </w:t>
            </w:r>
            <w:r w:rsidRPr="00227E90">
              <w:rPr>
                <w:rFonts w:cstheme="minorHAnsi"/>
              </w:rPr>
              <w:t>vyhraněnou skupinu obyvatel)</w:t>
            </w:r>
          </w:p>
          <w:p w14:paraId="331DC557" w14:textId="77777777" w:rsidR="00227E90" w:rsidRPr="00227E90" w:rsidRDefault="00227E90" w:rsidP="00BA0200">
            <w:pPr>
              <w:pStyle w:val="Odstavecseseznamem"/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významnost a aktuálnost zpracovaného tématu (např. akce pořádané k nějakému výročí)</w:t>
            </w:r>
          </w:p>
          <w:p w14:paraId="18286C5B" w14:textId="77777777" w:rsidR="00227E90" w:rsidRPr="00227E90" w:rsidRDefault="00227E90" w:rsidP="00BA0200">
            <w:pPr>
              <w:pStyle w:val="Odstavecseseznamem"/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 xml:space="preserve">připravenost projektu, kvalita zpracování žádosti, udržitelnost projektu </w:t>
            </w:r>
          </w:p>
          <w:p w14:paraId="430D1C2F" w14:textId="3DC80C9B" w:rsidR="00227E90" w:rsidRPr="00701609" w:rsidRDefault="00227E90" w:rsidP="00B22FDE">
            <w:pPr>
              <w:rPr>
                <w:b/>
              </w:rPr>
            </w:pPr>
          </w:p>
        </w:tc>
        <w:tc>
          <w:tcPr>
            <w:tcW w:w="1979" w:type="dxa"/>
          </w:tcPr>
          <w:p w14:paraId="68FEFF4E" w14:textId="4DA35FDE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60</w:t>
            </w:r>
          </w:p>
        </w:tc>
      </w:tr>
      <w:tr w:rsidR="00447247" w14:paraId="55170A9F" w14:textId="77777777" w:rsidTr="00BA0200">
        <w:trPr>
          <w:trHeight w:val="2543"/>
        </w:trPr>
        <w:tc>
          <w:tcPr>
            <w:tcW w:w="421" w:type="dxa"/>
          </w:tcPr>
          <w:p w14:paraId="0B88624C" w14:textId="073622C6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3.</w:t>
            </w:r>
          </w:p>
        </w:tc>
        <w:tc>
          <w:tcPr>
            <w:tcW w:w="6662" w:type="dxa"/>
          </w:tcPr>
          <w:p w14:paraId="50C42C1A" w14:textId="77777777" w:rsidR="00447247" w:rsidRDefault="00701609" w:rsidP="00B22FDE">
            <w:pPr>
              <w:rPr>
                <w:b/>
                <w:bCs/>
              </w:rPr>
            </w:pPr>
            <w:r w:rsidRPr="00701609">
              <w:rPr>
                <w:b/>
                <w:bCs/>
              </w:rPr>
              <w:t>Ekonomické parametry projektu</w:t>
            </w:r>
          </w:p>
          <w:p w14:paraId="10DCCA0C" w14:textId="77777777" w:rsidR="00BA0200" w:rsidRPr="00BA0200" w:rsidRDefault="00BA0200" w:rsidP="00BA0200">
            <w:pPr>
              <w:rPr>
                <w:rFonts w:cstheme="minorHAnsi"/>
              </w:rPr>
            </w:pPr>
            <w:r w:rsidRPr="00BA0200">
              <w:rPr>
                <w:rFonts w:cstheme="minorHAnsi"/>
              </w:rPr>
              <w:t>V této rovině jsou posuzována a hodnocena následující kritéria projektu:</w:t>
            </w:r>
          </w:p>
          <w:p w14:paraId="013FF7B8" w14:textId="747B85F3" w:rsidR="00BA0200" w:rsidRPr="00BA0200" w:rsidRDefault="00BA0200" w:rsidP="00BA0200">
            <w:pPr>
              <w:pStyle w:val="Odstavecseseznamem"/>
              <w:numPr>
                <w:ilvl w:val="0"/>
                <w:numId w:val="29"/>
              </w:numPr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kvalita zpracování rozpočtu – jeho přehlednost, transparentnost, srozumitelnost</w:t>
            </w:r>
            <w:r w:rsidR="00A10BFA">
              <w:rPr>
                <w:rFonts w:cstheme="minorHAnsi"/>
              </w:rPr>
              <w:t xml:space="preserve">; vypovídající </w:t>
            </w:r>
            <w:r w:rsidR="002973A4">
              <w:rPr>
                <w:rFonts w:cstheme="minorHAnsi"/>
              </w:rPr>
              <w:t xml:space="preserve">komentář k rozpočtu </w:t>
            </w:r>
          </w:p>
          <w:p w14:paraId="0E0EFAA7" w14:textId="77777777" w:rsidR="00BA0200" w:rsidRPr="00BA0200" w:rsidRDefault="00BA0200" w:rsidP="00BA0200">
            <w:pPr>
              <w:pStyle w:val="Odstavecseseznamem"/>
              <w:numPr>
                <w:ilvl w:val="0"/>
                <w:numId w:val="30"/>
              </w:numPr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přiměřenost, účelnost a hospodárnost výdajů</w:t>
            </w:r>
          </w:p>
          <w:p w14:paraId="0A2FC086" w14:textId="3A8D3B97" w:rsidR="00BA0200" w:rsidRPr="00BA0200" w:rsidRDefault="00BA0200" w:rsidP="00BA0200">
            <w:pPr>
              <w:pStyle w:val="Odstavecseseznamem"/>
              <w:numPr>
                <w:ilvl w:val="0"/>
                <w:numId w:val="30"/>
              </w:numPr>
              <w:spacing w:after="240"/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schopnost zajistit další finanční zdroje, adekvátní významu a finanční náročnosti projektu, včetně přiměřených příjmů z projektu</w:t>
            </w:r>
          </w:p>
        </w:tc>
        <w:tc>
          <w:tcPr>
            <w:tcW w:w="1979" w:type="dxa"/>
          </w:tcPr>
          <w:p w14:paraId="64F99005" w14:textId="48581797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25</w:t>
            </w:r>
          </w:p>
        </w:tc>
      </w:tr>
      <w:tr w:rsidR="00F522DC" w14:paraId="27841209" w14:textId="77777777" w:rsidTr="00227E90">
        <w:trPr>
          <w:trHeight w:val="411"/>
        </w:trPr>
        <w:tc>
          <w:tcPr>
            <w:tcW w:w="7084" w:type="dxa"/>
            <w:gridSpan w:val="2"/>
          </w:tcPr>
          <w:p w14:paraId="4F0CB6E2" w14:textId="728D489C" w:rsidR="00F522DC" w:rsidRDefault="00F522DC" w:rsidP="00B22FDE">
            <w:r>
              <w:t xml:space="preserve">Maximální počet bodů </w:t>
            </w:r>
          </w:p>
        </w:tc>
        <w:tc>
          <w:tcPr>
            <w:tcW w:w="1979" w:type="dxa"/>
          </w:tcPr>
          <w:p w14:paraId="35D0D4E4" w14:textId="46799E55" w:rsidR="00701609" w:rsidRDefault="00701609" w:rsidP="00701609">
            <w:pPr>
              <w:jc w:val="center"/>
            </w:pPr>
            <w:r>
              <w:t>100</w:t>
            </w:r>
          </w:p>
        </w:tc>
      </w:tr>
    </w:tbl>
    <w:p w14:paraId="63A8C252" w14:textId="29757B06" w:rsidR="00F522DC" w:rsidRDefault="00F522DC" w:rsidP="004931FE">
      <w:pPr>
        <w:spacing w:line="360" w:lineRule="auto"/>
      </w:pPr>
    </w:p>
    <w:p w14:paraId="235A605D" w14:textId="07403188" w:rsidR="000036D5" w:rsidRDefault="000036D5" w:rsidP="00D06E75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4" w:name="_Toc174698168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4"/>
    </w:p>
    <w:p w14:paraId="44B8DD9C" w14:textId="71B7017F" w:rsidR="00B52A4A" w:rsidRDefault="00B52A4A" w:rsidP="00BA0200">
      <w:pPr>
        <w:pStyle w:val="Odstavecseseznamem"/>
        <w:numPr>
          <w:ilvl w:val="0"/>
          <w:numId w:val="14"/>
        </w:numPr>
        <w:jc w:val="both"/>
      </w:pPr>
      <w:r>
        <w:t>S výsledky výběrového dotačního řízení budou žadatelé seznámeni:</w:t>
      </w:r>
    </w:p>
    <w:p w14:paraId="19A3F6C8" w14:textId="59122C57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zveřejněním výsledků dotačního výběrového řízení na internetových stránkách MKČR</w:t>
      </w:r>
    </w:p>
    <w:p w14:paraId="293BDB7A" w14:textId="46677680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prostřednictvím DPMK</w:t>
      </w:r>
    </w:p>
    <w:p w14:paraId="0A39F853" w14:textId="738ABB86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lastRenderedPageBreak/>
        <w:t>usnesením o zastavení řízení podle § 14j odst. 4 písm. a), b) nebo d) rozpočtových pravidel</w:t>
      </w:r>
    </w:p>
    <w:p w14:paraId="2C48E769" w14:textId="4ABF5979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283172E1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 xml:space="preserve">rozhodnutím o zamítnutí žádosti </w:t>
      </w:r>
      <w:r w:rsidR="002321E6">
        <w:t xml:space="preserve">o poskytnutí dotace </w:t>
      </w:r>
      <w:r w:rsidR="005B1007">
        <w:t>zveřejněným na webových stránkách Ministerstva kultury</w:t>
      </w:r>
      <w:r w:rsidR="00CF4CCA">
        <w:t xml:space="preserve"> (v souladu s § </w:t>
      </w:r>
      <w:proofErr w:type="gramStart"/>
      <w:r w:rsidR="00CF4CCA">
        <w:t>14h</w:t>
      </w:r>
      <w:proofErr w:type="gramEnd"/>
      <w:r w:rsidR="00CF4CCA">
        <w:t xml:space="preserve"> rozpočtových pravidel)</w:t>
      </w:r>
    </w:p>
    <w:p w14:paraId="02FE1F12" w14:textId="5216CBE7" w:rsidR="00B52A4A" w:rsidRDefault="00B52A4A" w:rsidP="00BA0200">
      <w:pPr>
        <w:pStyle w:val="Odstavecseseznamem"/>
        <w:numPr>
          <w:ilvl w:val="0"/>
          <w:numId w:val="14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 xml:space="preserve">§ </w:t>
      </w:r>
      <w:proofErr w:type="gramStart"/>
      <w:r>
        <w:t>14q</w:t>
      </w:r>
      <w:proofErr w:type="gramEnd"/>
      <w:r>
        <w:t xml:space="preserve"> odst. 2 rozpočtových pravidel).</w:t>
      </w:r>
    </w:p>
    <w:p w14:paraId="4F993781" w14:textId="77777777" w:rsidR="00EB442D" w:rsidRDefault="00EB442D" w:rsidP="00EB442D">
      <w:pPr>
        <w:pStyle w:val="Odstavecseseznamem"/>
        <w:jc w:val="both"/>
      </w:pPr>
    </w:p>
    <w:p w14:paraId="5D2FA6ED" w14:textId="18CEC8E7" w:rsidR="000036D5" w:rsidRDefault="000036D5" w:rsidP="00D06E75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469816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5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Default="0084208F" w:rsidP="00BA0200">
      <w:pPr>
        <w:pStyle w:val="Odstavecseseznamem"/>
        <w:numPr>
          <w:ilvl w:val="0"/>
          <w:numId w:val="16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1A5ECE91" w:rsidR="005F3A24" w:rsidRDefault="001D774C" w:rsidP="00BA0200">
      <w:pPr>
        <w:pStyle w:val="Odstavecseseznamem"/>
        <w:numPr>
          <w:ilvl w:val="0"/>
          <w:numId w:val="16"/>
        </w:numPr>
        <w:jc w:val="both"/>
      </w:pPr>
      <w: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2E0FC4" w:rsidRPr="002E0FC4">
        <w:t>07.12.202</w:t>
      </w:r>
      <w:r w:rsidR="00FD1B37">
        <w:t>6</w:t>
      </w:r>
      <w:r w:rsidRPr="002E0FC4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BA0200">
      <w:pPr>
        <w:pStyle w:val="Odstavecseseznamem"/>
        <w:numPr>
          <w:ilvl w:val="0"/>
          <w:numId w:val="16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F7A165B" w:rsidR="000036D5" w:rsidRDefault="000036D5" w:rsidP="00D06E75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6" w:name="_Toc174698170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6"/>
    </w:p>
    <w:p w14:paraId="09B8A0F7" w14:textId="091F6F2C" w:rsidR="004C25E2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23E6B384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>písemnou závěrečnou</w:t>
      </w:r>
      <w:r w:rsidR="00FD1B37">
        <w:t xml:space="preserve"> monitorovací</w:t>
      </w:r>
      <w:r w:rsidR="00627297" w:rsidRPr="00C777AB">
        <w:t xml:space="preserve"> zpráv</w:t>
      </w:r>
      <w:r w:rsidR="002E0FC4">
        <w:t>o</w:t>
      </w:r>
      <w:r w:rsidR="00627297" w:rsidRPr="00C777AB">
        <w:t>u o realizaci a</w:t>
      </w:r>
      <w:r w:rsidR="00A96C94">
        <w:t> </w:t>
      </w:r>
      <w:r w:rsidR="00627297" w:rsidRPr="00C777AB">
        <w:t xml:space="preserve">výsledcích projektu </w:t>
      </w:r>
      <w:r w:rsidR="00FD1B37">
        <w:t xml:space="preserve">(sekce „Realizace projektu“ – „Monitorovací zprávy“) </w:t>
      </w:r>
      <w:r>
        <w:t>dle pokynů MK</w:t>
      </w:r>
      <w:r w:rsidR="006B2C49">
        <w:t>ČR</w:t>
      </w:r>
      <w:r>
        <w:t xml:space="preserve"> v</w:t>
      </w:r>
      <w:r w:rsidR="00FD1B37">
        <w:t> </w:t>
      </w:r>
      <w:r>
        <w:t xml:space="preserve">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4D4AD75B" w14:textId="59C2CD1F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>Termín vyúčtování dotace je</w:t>
      </w:r>
      <w:r w:rsidR="002E0FC4">
        <w:t xml:space="preserve"> </w:t>
      </w:r>
      <w:r w:rsidR="00D07967">
        <w:t>3</w:t>
      </w:r>
      <w:r w:rsidR="00A96C94">
        <w:t>1</w:t>
      </w:r>
      <w:r w:rsidR="002E0FC4">
        <w:t>.01.202</w:t>
      </w:r>
      <w:r w:rsidR="00D07967">
        <w:t>7</w:t>
      </w:r>
      <w:r w:rsidRPr="008E071C">
        <w:t>.</w:t>
      </w:r>
    </w:p>
    <w:p w14:paraId="358E1DD9" w14:textId="08308534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dodavatelů. </w:t>
      </w:r>
    </w:p>
    <w:p w14:paraId="06DA126F" w14:textId="28DA1459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1832B974" w14:textId="3035AE30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4770F612" w14:textId="166843D4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lastRenderedPageBreak/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14:paraId="53F02841" w14:textId="4A91B1C0" w:rsidR="00776505" w:rsidRDefault="001D774C" w:rsidP="00BA0200">
      <w:pPr>
        <w:pStyle w:val="Odstavecseseznamem"/>
        <w:numPr>
          <w:ilvl w:val="0"/>
          <w:numId w:val="17"/>
        </w:numPr>
        <w:jc w:val="both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2E0FC4">
        <w:t xml:space="preserve"> 5</w:t>
      </w:r>
      <w:r w:rsidR="00776505">
        <w:t xml:space="preserve"> % z celkové částky dotace, se ve smyslu § 14 odst. 5 zákona č.</w:t>
      </w:r>
      <w:r w:rsidR="00B45DA5">
        <w:t> </w:t>
      </w:r>
      <w:r w:rsidR="00776505">
        <w:t xml:space="preserve">218/2000 Sb. považuje: </w:t>
      </w:r>
    </w:p>
    <w:p w14:paraId="3F4528D2" w14:textId="3D3345BC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porušení povinnosti příjemce uvádět na materiálech vytvořených v rámci projektu nebo souvisejících s jeho realizací, že se projekt uskutečňuje za finanční podpory M</w:t>
      </w:r>
      <w:r w:rsidR="00273CE1" w:rsidRPr="002E0FC4">
        <w:t>K ČR</w:t>
      </w:r>
      <w:r w:rsidR="00800452" w:rsidRPr="002E0FC4">
        <w:t>,</w:t>
      </w:r>
      <w:r w:rsidRPr="002E0FC4">
        <w:t xml:space="preserve"> </w:t>
      </w:r>
    </w:p>
    <w:p w14:paraId="5B3BC6A5" w14:textId="57A7D01D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zaslání závěrečné zprávy</w:t>
      </w:r>
      <w:r w:rsidR="00800452" w:rsidRPr="002E0FC4">
        <w:t>,</w:t>
      </w:r>
    </w:p>
    <w:p w14:paraId="1F40974A" w14:textId="5174FE97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předložení vyúčtování</w:t>
      </w:r>
      <w:r w:rsidR="00800452" w:rsidRPr="002E0FC4">
        <w:t>,</w:t>
      </w:r>
    </w:p>
    <w:p w14:paraId="0BF8A237" w14:textId="1CE78D14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oznámení změn identifikačních údajů příjemce</w:t>
      </w:r>
      <w:r w:rsidR="00800452" w:rsidRPr="002E0FC4">
        <w:t>,</w:t>
      </w:r>
    </w:p>
    <w:p w14:paraId="2DBFD9CA" w14:textId="2D5101A9" w:rsidR="004C25E2" w:rsidRPr="002E0FC4" w:rsidRDefault="00776505" w:rsidP="00B45DA5">
      <w:pPr>
        <w:pStyle w:val="Odstavecseseznamem"/>
        <w:numPr>
          <w:ilvl w:val="0"/>
          <w:numId w:val="25"/>
        </w:numPr>
        <w:spacing w:line="276" w:lineRule="auto"/>
        <w:ind w:left="1276"/>
        <w:jc w:val="both"/>
      </w:pPr>
      <w:r w:rsidRPr="002E0FC4">
        <w:t>nedodržení struktury dotace.</w:t>
      </w:r>
    </w:p>
    <w:p w14:paraId="1400C582" w14:textId="38FECE12" w:rsidR="001D774C" w:rsidRDefault="00974B27" w:rsidP="00BA0200">
      <w:pPr>
        <w:pStyle w:val="Odstavecseseznamem"/>
        <w:numPr>
          <w:ilvl w:val="0"/>
          <w:numId w:val="17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509B7D56" w:rsidR="001D774C" w:rsidRDefault="00974B27" w:rsidP="00BA0200">
      <w:pPr>
        <w:pStyle w:val="Odstavecseseznamem"/>
        <w:numPr>
          <w:ilvl w:val="0"/>
          <w:numId w:val="17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</w:t>
      </w:r>
      <w:r w:rsidR="002E0FC4">
        <w:t>,</w:t>
      </w:r>
      <w:r>
        <w:t xml:space="preserve"> pozastaví proplácení dotace.</w:t>
      </w:r>
    </w:p>
    <w:p w14:paraId="3AC68286" w14:textId="1CECEFC7" w:rsidR="00974B27" w:rsidRDefault="00974B27" w:rsidP="00BA0200">
      <w:pPr>
        <w:pStyle w:val="Odstavecseseznamem"/>
        <w:numPr>
          <w:ilvl w:val="0"/>
          <w:numId w:val="17"/>
        </w:numPr>
        <w:jc w:val="both"/>
      </w:pPr>
      <w:r>
        <w:t>Ověřování správnost</w:t>
      </w:r>
      <w:r w:rsidR="002E0FC4">
        <w:t>i</w:t>
      </w:r>
      <w:r>
        <w:t xml:space="preserve">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BA0200">
      <w:pPr>
        <w:pStyle w:val="Odstavecseseznamem"/>
        <w:numPr>
          <w:ilvl w:val="0"/>
          <w:numId w:val="17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40CEE175" w:rsidR="00865E5A" w:rsidRDefault="006A5824" w:rsidP="00BA0200">
      <w:pPr>
        <w:pStyle w:val="Odstavecseseznamem"/>
        <w:numPr>
          <w:ilvl w:val="0"/>
          <w:numId w:val="17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</w:t>
      </w:r>
      <w:r w:rsidR="002E0FC4">
        <w:t> </w:t>
      </w:r>
      <w:r>
        <w:t>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7" w:name="_Toc174698171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17"/>
    </w:p>
    <w:p w14:paraId="70491CB3" w14:textId="4ECCB1BC" w:rsidR="00974B27" w:rsidRDefault="00974B27" w:rsidP="00BA0200">
      <w:pPr>
        <w:pStyle w:val="Odstavecseseznamem"/>
        <w:numPr>
          <w:ilvl w:val="0"/>
          <w:numId w:val="19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</w:t>
      </w:r>
      <w:r w:rsidR="005346F8">
        <w:t>nebo</w:t>
      </w:r>
      <w:r>
        <w:t xml:space="preserve"> informaci o tom, že se projekt uskutečňuje za finanční podpory MKČR. </w:t>
      </w:r>
    </w:p>
    <w:p w14:paraId="2A71E11A" w14:textId="2CCEA846" w:rsidR="00974B27" w:rsidRPr="00535EAC" w:rsidRDefault="00A71739" w:rsidP="00BA0200">
      <w:pPr>
        <w:pStyle w:val="Odstavecseseznamem"/>
        <w:numPr>
          <w:ilvl w:val="0"/>
          <w:numId w:val="19"/>
        </w:numPr>
        <w:jc w:val="both"/>
      </w:pPr>
      <w:r>
        <w:t>Logo je dostupné na webových stránkách MKČR</w:t>
      </w:r>
      <w:r w:rsidR="00223EE9">
        <w:t xml:space="preserve"> </w:t>
      </w:r>
      <w:hyperlink r:id="rId11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1CD6B0AA" w14:textId="77777777" w:rsidR="005346F8" w:rsidRDefault="005346F8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8" w:name="_Toc174698172"/>
    </w:p>
    <w:p w14:paraId="3CC5446D" w14:textId="1DCB5709" w:rsidR="000036D5" w:rsidRDefault="000036D5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18"/>
    </w:p>
    <w:p w14:paraId="1C97CA42" w14:textId="06371867" w:rsidR="00A71739" w:rsidRDefault="00A71739" w:rsidP="00444C97">
      <w:pPr>
        <w:spacing w:after="0" w:line="360" w:lineRule="auto"/>
        <w:jc w:val="both"/>
      </w:pPr>
      <w:r>
        <w:t>Příjemce dotace je povinen:</w:t>
      </w:r>
    </w:p>
    <w:p w14:paraId="17FE31E6" w14:textId="5797FD94" w:rsidR="00A71739" w:rsidRPr="00C777AB" w:rsidRDefault="00A71739" w:rsidP="00BA0200">
      <w:pPr>
        <w:pStyle w:val="Odstavecseseznamem"/>
        <w:numPr>
          <w:ilvl w:val="0"/>
          <w:numId w:val="18"/>
        </w:numPr>
        <w:jc w:val="both"/>
      </w:pPr>
      <w:r w:rsidRPr="00C777AB">
        <w:lastRenderedPageBreak/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419566BF" w:rsidR="00A71739" w:rsidRPr="00C777AB" w:rsidRDefault="00A71739" w:rsidP="00BA0200">
      <w:pPr>
        <w:pStyle w:val="Odstavecseseznamem"/>
        <w:numPr>
          <w:ilvl w:val="0"/>
          <w:numId w:val="18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444C97">
        <w:t>31.12.</w:t>
      </w:r>
      <w:r w:rsidR="00ED6A25" w:rsidRPr="00C777AB">
        <w:t xml:space="preserve"> roku, na který byla dotace poskytnuta</w:t>
      </w:r>
      <w:r w:rsidR="00DA36D3">
        <w:t>;</w:t>
      </w:r>
    </w:p>
    <w:p w14:paraId="4423BAF9" w14:textId="3484DBD5" w:rsidR="00ED6A25" w:rsidRPr="00C777AB" w:rsidRDefault="00B45DA5" w:rsidP="00BA0200">
      <w:pPr>
        <w:pStyle w:val="Odstavecseseznamem"/>
        <w:numPr>
          <w:ilvl w:val="0"/>
          <w:numId w:val="18"/>
        </w:numPr>
        <w:jc w:val="both"/>
      </w:pPr>
      <w:r>
        <w:t xml:space="preserve">zajistit, aby </w:t>
      </w:r>
      <w:r w:rsidR="00800452">
        <w:t>p</w:t>
      </w:r>
      <w:r w:rsidR="00ED6A25" w:rsidRPr="00C777AB">
        <w:t>odíl dotace ze státního rozpočtu na financování projektu čin</w:t>
      </w:r>
      <w:r>
        <w:t>il</w:t>
      </w:r>
      <w:r w:rsidR="005814D4">
        <w:t xml:space="preserve"> </w:t>
      </w:r>
      <w:r w:rsidR="008E4DB6">
        <w:t>nejvýše</w:t>
      </w:r>
      <w:r w:rsidR="00ED6A25" w:rsidRPr="008E071C">
        <w:rPr>
          <w:i/>
        </w:rPr>
        <w:t xml:space="preserve"> </w:t>
      </w:r>
      <w:r w:rsidRPr="00B45DA5">
        <w:t>70 %</w:t>
      </w:r>
      <w:r>
        <w:rPr>
          <w:i/>
        </w:rPr>
        <w:t xml:space="preserve"> </w:t>
      </w:r>
      <w:r w:rsidR="00ED6A25" w:rsidRPr="00C777AB">
        <w:t>z celkových skutečných nákladů</w:t>
      </w:r>
      <w:r w:rsidR="00C15410">
        <w:t>.</w:t>
      </w:r>
    </w:p>
    <w:p w14:paraId="29C8B435" w14:textId="52E9C44E" w:rsidR="00ED6A25" w:rsidRPr="00C777AB" w:rsidRDefault="00C15410" w:rsidP="00BA0200">
      <w:pPr>
        <w:pStyle w:val="Odstavecseseznamem"/>
        <w:numPr>
          <w:ilvl w:val="0"/>
          <w:numId w:val="18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14:paraId="13A90098" w14:textId="03622E65" w:rsidR="00ED6A25" w:rsidRPr="00C777AB" w:rsidRDefault="00C15410" w:rsidP="00BA0200">
      <w:pPr>
        <w:pStyle w:val="Odstavecseseznamem"/>
        <w:numPr>
          <w:ilvl w:val="0"/>
          <w:numId w:val="18"/>
        </w:numPr>
        <w:jc w:val="both"/>
      </w:pPr>
      <w:r>
        <w:t>P</w:t>
      </w:r>
      <w:r w:rsidR="00ED6A25" w:rsidRPr="00C777AB">
        <w:t>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="00ED6A25" w:rsidRPr="00C777AB">
        <w:t>. Náklady hospodárně, účelně a efektivně vynaložené v dobré víře příjemcem na akce nebo dílčí kroky v přímé souvislosti s projektem se</w:t>
      </w:r>
      <w:r w:rsidR="00B45DA5">
        <w:t> </w:t>
      </w:r>
      <w:r w:rsidR="00ED6A25" w:rsidRPr="00C777AB">
        <w:t>považují za náklady vynaložené na účel uvedený v </w:t>
      </w:r>
      <w:r w:rsidR="00130EFF">
        <w:t>r</w:t>
      </w:r>
      <w:r w:rsidR="00ED6A25" w:rsidRPr="00C777AB">
        <w:t>ozhodnutí.</w:t>
      </w:r>
    </w:p>
    <w:p w14:paraId="13F4E2AF" w14:textId="2F92334F" w:rsidR="00ED6A25" w:rsidRPr="00C777AB" w:rsidRDefault="00C15410" w:rsidP="00BA0200">
      <w:pPr>
        <w:pStyle w:val="Odstavecseseznamem"/>
        <w:numPr>
          <w:ilvl w:val="0"/>
          <w:numId w:val="18"/>
        </w:numPr>
        <w:jc w:val="both"/>
      </w:pPr>
      <w:r>
        <w:t>Příjemce dotace je povinen p</w:t>
      </w:r>
      <w:r w:rsidR="00ED6A25" w:rsidRPr="00C777AB">
        <w:t>ostupovat v souladu se zákonem č. 134/2016 Sb., o zadávání veřejných zakázek, v platném znění, pokud použije prostředky státního rozpočtu k úhradě zakázky, která je nadlimitní nebo podlimitní veřejnou zakázkou podle tohoto zákona</w:t>
      </w:r>
      <w:r>
        <w:t>;</w:t>
      </w:r>
    </w:p>
    <w:p w14:paraId="5565263D" w14:textId="74205580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</w:t>
      </w:r>
      <w:r w:rsidR="00C15410">
        <w:t>;</w:t>
      </w:r>
    </w:p>
    <w:p w14:paraId="116CDEF4" w14:textId="316BF9C3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</w:t>
      </w:r>
      <w:r w:rsidR="00C15410">
        <w:t>;</w:t>
      </w:r>
    </w:p>
    <w:p w14:paraId="29974849" w14:textId="3D64BEF5" w:rsidR="00ED6A25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Default="000036D5" w:rsidP="004931FE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9" w:name="_Toc174698173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19"/>
    </w:p>
    <w:p w14:paraId="7B60D954" w14:textId="40C4AF2D" w:rsidR="00ED6A25" w:rsidRDefault="00C777AB" w:rsidP="00BA0200">
      <w:pPr>
        <w:pStyle w:val="Odstavecseseznamem"/>
        <w:numPr>
          <w:ilvl w:val="0"/>
          <w:numId w:val="20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97E141A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>k doložení dalších podkladů nebo údajů nezbytných pro vydání rozhodnutí o poskytnutí dotace. Lhůta</w:t>
      </w:r>
      <w:r w:rsidR="008E071C">
        <w:t xml:space="preserve"> </w:t>
      </w:r>
      <w:r w:rsidR="008E071C">
        <w:br/>
      </w:r>
      <w:r>
        <w:t>na doložení dalších podkladů bude MK</w:t>
      </w:r>
      <w:r w:rsidR="00643CD0">
        <w:t>ČR</w:t>
      </w:r>
      <w:r>
        <w:t xml:space="preserve"> stanovena přiměřeně k povaze požadovaných dokladů.</w:t>
      </w:r>
    </w:p>
    <w:p w14:paraId="34D5FE91" w14:textId="5A1F729B" w:rsidR="009E30BF" w:rsidRPr="00ED6A25" w:rsidRDefault="009E30BF" w:rsidP="00BA0200">
      <w:pPr>
        <w:pStyle w:val="Odstavecseseznamem"/>
        <w:numPr>
          <w:ilvl w:val="0"/>
          <w:numId w:val="20"/>
        </w:numPr>
        <w:jc w:val="both"/>
      </w:pPr>
      <w:r>
        <w:t xml:space="preserve">Pokud byla žádost pravomocně zcela či zčásti zamítnuta, může MKČR podle § </w:t>
      </w:r>
      <w:proofErr w:type="gramStart"/>
      <w:r>
        <w:t>14p</w:t>
      </w:r>
      <w:proofErr w:type="gramEnd"/>
      <w:r>
        <w:t xml:space="preserve"> rozpočtových pravidel novým rozhodnutím žádosti z</w:t>
      </w:r>
      <w:r w:rsidR="008C514A">
        <w:t xml:space="preserve">cela </w:t>
      </w:r>
      <w:r>
        <w:t>nebo z</w:t>
      </w:r>
      <w:r w:rsidR="008C514A">
        <w:t>části</w:t>
      </w:r>
      <w:r>
        <w:t xml:space="preserve"> vyhovět, pokud </w:t>
      </w:r>
      <w:r w:rsidR="008C514A">
        <w:t>s tím příjemce souhlasí.</w:t>
      </w:r>
      <w:r>
        <w:t xml:space="preserve"> </w:t>
      </w:r>
    </w:p>
    <w:p w14:paraId="3651CF54" w14:textId="573D5BAC" w:rsidR="00A71739" w:rsidRDefault="00C777AB" w:rsidP="00BA0200">
      <w:pPr>
        <w:pStyle w:val="Odstavecseseznamem"/>
        <w:numPr>
          <w:ilvl w:val="0"/>
          <w:numId w:val="20"/>
        </w:numPr>
        <w:jc w:val="both"/>
      </w:pPr>
      <w:r>
        <w:t>Na dotaci není právní nárok.</w:t>
      </w:r>
    </w:p>
    <w:p w14:paraId="67F2CC05" w14:textId="17CAD695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000036D5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20" w:name="_Toc174698174"/>
      <w:r w:rsidRPr="000036D5">
        <w:rPr>
          <w:rFonts w:cstheme="majorHAnsi"/>
          <w:b/>
          <w:color w:val="000000" w:themeColor="text1"/>
          <w:sz w:val="32"/>
          <w:szCs w:val="32"/>
        </w:rPr>
        <w:t>19. Kontakty</w:t>
      </w:r>
      <w:bookmarkEnd w:id="20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7156EA34" w14:textId="77777777" w:rsidR="004931FE" w:rsidRPr="00C777AB" w:rsidRDefault="004931FE" w:rsidP="004931FE">
      <w:pPr>
        <w:spacing w:after="0" w:line="360" w:lineRule="auto"/>
        <w:rPr>
          <w:b/>
        </w:rPr>
      </w:pPr>
      <w:r w:rsidRPr="00C777AB">
        <w:rPr>
          <w:b/>
        </w:rPr>
        <w:t>Metodická podpora</w:t>
      </w:r>
    </w:p>
    <w:p w14:paraId="2E63BE7C" w14:textId="77777777" w:rsidR="004931FE" w:rsidRDefault="004931FE" w:rsidP="004931FE">
      <w:pPr>
        <w:spacing w:after="0" w:line="360" w:lineRule="auto"/>
      </w:pPr>
      <w:r w:rsidRPr="001E5541">
        <w:lastRenderedPageBreak/>
        <w:t>Ing. Libuše Princová</w:t>
      </w:r>
    </w:p>
    <w:p w14:paraId="438F5C9C" w14:textId="77777777" w:rsidR="004931FE" w:rsidRPr="001E5541" w:rsidRDefault="004931FE" w:rsidP="004931FE">
      <w:pPr>
        <w:pStyle w:val="Odstavecseseznamem"/>
        <w:numPr>
          <w:ilvl w:val="0"/>
          <w:numId w:val="31"/>
        </w:numPr>
        <w:rPr>
          <w:b/>
        </w:rPr>
      </w:pPr>
      <w:r>
        <w:t xml:space="preserve">Telefon: +420 257 085 579, +420 702 010 484 </w:t>
      </w:r>
    </w:p>
    <w:p w14:paraId="6DE0A409" w14:textId="0F29A2DD" w:rsidR="004931FE" w:rsidRPr="001E5541" w:rsidRDefault="004931FE" w:rsidP="004931FE">
      <w:pPr>
        <w:pStyle w:val="Odstavecseseznamem"/>
        <w:numPr>
          <w:ilvl w:val="0"/>
          <w:numId w:val="31"/>
        </w:numPr>
      </w:pPr>
      <w:proofErr w:type="gramStart"/>
      <w:r w:rsidRPr="001E5541">
        <w:t xml:space="preserve">E-mail: </w:t>
      </w:r>
      <w:r>
        <w:t xml:space="preserve">  </w:t>
      </w:r>
      <w:proofErr w:type="gramEnd"/>
      <w:r>
        <w:t>libuse.princova@mk.gov.cz</w:t>
      </w:r>
    </w:p>
    <w:p w14:paraId="40258B1E" w14:textId="77777777" w:rsidR="004931FE" w:rsidRDefault="004931FE" w:rsidP="004931FE">
      <w:pPr>
        <w:pStyle w:val="Odstavecseseznamem"/>
        <w:spacing w:line="360" w:lineRule="auto"/>
        <w:ind w:left="0"/>
        <w:rPr>
          <w:b/>
        </w:rPr>
      </w:pPr>
    </w:p>
    <w:p w14:paraId="29592FC6" w14:textId="0F6DE6EF" w:rsidR="004931FE" w:rsidRDefault="004931FE" w:rsidP="004931FE">
      <w:pPr>
        <w:pStyle w:val="Odstavecseseznamem"/>
        <w:spacing w:line="360" w:lineRule="auto"/>
        <w:ind w:left="0"/>
        <w:rPr>
          <w:b/>
        </w:rPr>
      </w:pPr>
      <w:r w:rsidRPr="001E5541">
        <w:rPr>
          <w:b/>
        </w:rPr>
        <w:t xml:space="preserve">Technická podpora </w:t>
      </w:r>
    </w:p>
    <w:p w14:paraId="06412316" w14:textId="5382868C" w:rsidR="000F190C" w:rsidRPr="000F190C" w:rsidRDefault="000F190C" w:rsidP="004931FE">
      <w:pPr>
        <w:pStyle w:val="Odstavecseseznamem"/>
        <w:spacing w:line="360" w:lineRule="auto"/>
        <w:ind w:left="0"/>
      </w:pPr>
      <w:r w:rsidRPr="000F190C">
        <w:t xml:space="preserve">ASD </w:t>
      </w:r>
      <w:proofErr w:type="spellStart"/>
      <w:r w:rsidRPr="000F190C">
        <w:t>hotline</w:t>
      </w:r>
      <w:proofErr w:type="spellEnd"/>
    </w:p>
    <w:p w14:paraId="5D8A7F84" w14:textId="5CF3C8DE" w:rsidR="004931FE" w:rsidRDefault="004931FE" w:rsidP="004931FE">
      <w:pPr>
        <w:pStyle w:val="Odstavecseseznamem"/>
        <w:keepNext/>
        <w:numPr>
          <w:ilvl w:val="0"/>
          <w:numId w:val="32"/>
        </w:numPr>
        <w:spacing w:after="120" w:line="288" w:lineRule="auto"/>
        <w:jc w:val="both"/>
      </w:pPr>
      <w:r>
        <w:t>telefon: +420 841 135 135 (8–17 h)</w:t>
      </w:r>
    </w:p>
    <w:p w14:paraId="254ADAD3" w14:textId="4BA1C0DE" w:rsidR="004931FE" w:rsidRDefault="004931FE" w:rsidP="004931FE">
      <w:pPr>
        <w:pStyle w:val="Odstavecseseznamem"/>
        <w:keepNext/>
        <w:numPr>
          <w:ilvl w:val="0"/>
          <w:numId w:val="32"/>
        </w:numPr>
        <w:spacing w:after="120" w:line="288" w:lineRule="auto"/>
        <w:jc w:val="both"/>
        <w:rPr>
          <w:lang w:eastAsia="cs-CZ"/>
        </w:rPr>
      </w:pPr>
      <w:r>
        <w:t>e-mail:  </w:t>
      </w:r>
      <w:hyperlink r:id="rId12" w:history="1">
        <w:r w:rsidR="00B408F1" w:rsidRPr="003F2DB5">
          <w:rPr>
            <w:rStyle w:val="Hypertextovodkaz"/>
          </w:rPr>
          <w:t>hotline-dpmk@asd-software.cz</w:t>
        </w:r>
      </w:hyperlink>
      <w:r w:rsidR="00B408F1">
        <w:t xml:space="preserve"> </w:t>
      </w:r>
    </w:p>
    <w:p w14:paraId="743BE7FA" w14:textId="77777777" w:rsidR="0052754F" w:rsidRPr="0052754F" w:rsidRDefault="0052754F" w:rsidP="0052754F"/>
    <w:sectPr w:rsidR="0052754F" w:rsidRPr="0052754F" w:rsidSect="002020D2">
      <w:headerReference w:type="default" r:id="rId13"/>
      <w:footerReference w:type="defaul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9D8F" w14:textId="77777777" w:rsidR="00E22934" w:rsidRDefault="00E22934" w:rsidP="00621BD6">
      <w:pPr>
        <w:spacing w:after="0" w:line="240" w:lineRule="auto"/>
      </w:pPr>
      <w:r>
        <w:separator/>
      </w:r>
    </w:p>
  </w:endnote>
  <w:endnote w:type="continuationSeparator" w:id="0">
    <w:p w14:paraId="3F39CEF2" w14:textId="77777777" w:rsidR="00E22934" w:rsidRDefault="00E22934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9E30BF" w:rsidRPr="00434940" w:rsidRDefault="009E30BF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9E30BF" w:rsidRPr="00621BD6" w:rsidRDefault="009E30BF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60E3" w14:textId="77777777" w:rsidR="00E22934" w:rsidRDefault="00E22934" w:rsidP="00621BD6">
      <w:pPr>
        <w:spacing w:after="0" w:line="240" w:lineRule="auto"/>
      </w:pPr>
      <w:r>
        <w:separator/>
      </w:r>
    </w:p>
  </w:footnote>
  <w:footnote w:type="continuationSeparator" w:id="0">
    <w:p w14:paraId="72FB3731" w14:textId="77777777" w:rsidR="00E22934" w:rsidRDefault="00E22934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9E30BF" w:rsidRDefault="009E30BF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C87"/>
    <w:multiLevelType w:val="hybridMultilevel"/>
    <w:tmpl w:val="2236D5DC"/>
    <w:lvl w:ilvl="0" w:tplc="A52633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8D4"/>
    <w:multiLevelType w:val="hybridMultilevel"/>
    <w:tmpl w:val="B9207A9E"/>
    <w:lvl w:ilvl="0" w:tplc="9912E5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AD1"/>
    <w:multiLevelType w:val="hybridMultilevel"/>
    <w:tmpl w:val="540A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21F8"/>
    <w:multiLevelType w:val="hybridMultilevel"/>
    <w:tmpl w:val="B75856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971BB"/>
    <w:multiLevelType w:val="hybridMultilevel"/>
    <w:tmpl w:val="E88CC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60212"/>
    <w:multiLevelType w:val="hybridMultilevel"/>
    <w:tmpl w:val="37CE2890"/>
    <w:lvl w:ilvl="0" w:tplc="9912E5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D178A"/>
    <w:multiLevelType w:val="hybridMultilevel"/>
    <w:tmpl w:val="5D1A3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20"/>
  </w:num>
  <w:num w:numId="5">
    <w:abstractNumId w:val="24"/>
  </w:num>
  <w:num w:numId="6">
    <w:abstractNumId w:val="16"/>
  </w:num>
  <w:num w:numId="7">
    <w:abstractNumId w:val="23"/>
  </w:num>
  <w:num w:numId="8">
    <w:abstractNumId w:val="25"/>
  </w:num>
  <w:num w:numId="9">
    <w:abstractNumId w:val="17"/>
  </w:num>
  <w:num w:numId="10">
    <w:abstractNumId w:val="7"/>
  </w:num>
  <w:num w:numId="11">
    <w:abstractNumId w:val="6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3"/>
  </w:num>
  <w:num w:numId="17">
    <w:abstractNumId w:val="11"/>
  </w:num>
  <w:num w:numId="18">
    <w:abstractNumId w:val="2"/>
  </w:num>
  <w:num w:numId="19">
    <w:abstractNumId w:val="28"/>
  </w:num>
  <w:num w:numId="20">
    <w:abstractNumId w:val="30"/>
  </w:num>
  <w:num w:numId="21">
    <w:abstractNumId w:val="13"/>
  </w:num>
  <w:num w:numId="22">
    <w:abstractNumId w:val="14"/>
  </w:num>
  <w:num w:numId="23">
    <w:abstractNumId w:val="9"/>
  </w:num>
  <w:num w:numId="24">
    <w:abstractNumId w:val="15"/>
  </w:num>
  <w:num w:numId="25">
    <w:abstractNumId w:val="0"/>
  </w:num>
  <w:num w:numId="26">
    <w:abstractNumId w:val="31"/>
  </w:num>
  <w:num w:numId="27">
    <w:abstractNumId w:val="29"/>
  </w:num>
  <w:num w:numId="28">
    <w:abstractNumId w:val="1"/>
  </w:num>
  <w:num w:numId="29">
    <w:abstractNumId w:val="27"/>
  </w:num>
  <w:num w:numId="30">
    <w:abstractNumId w:val="4"/>
  </w:num>
  <w:num w:numId="31">
    <w:abstractNumId w:val="5"/>
  </w:num>
  <w:num w:numId="3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13840"/>
    <w:rsid w:val="00031B36"/>
    <w:rsid w:val="0004242F"/>
    <w:rsid w:val="00056A21"/>
    <w:rsid w:val="00056D23"/>
    <w:rsid w:val="000722F4"/>
    <w:rsid w:val="00082A74"/>
    <w:rsid w:val="00087002"/>
    <w:rsid w:val="000909F2"/>
    <w:rsid w:val="000912B7"/>
    <w:rsid w:val="00094361"/>
    <w:rsid w:val="00097250"/>
    <w:rsid w:val="000A26C1"/>
    <w:rsid w:val="000B29C4"/>
    <w:rsid w:val="000B4435"/>
    <w:rsid w:val="000C36C6"/>
    <w:rsid w:val="000C4420"/>
    <w:rsid w:val="000D33A5"/>
    <w:rsid w:val="000D50D0"/>
    <w:rsid w:val="000E3CF9"/>
    <w:rsid w:val="000E544E"/>
    <w:rsid w:val="000E5851"/>
    <w:rsid w:val="000F190C"/>
    <w:rsid w:val="00121AB8"/>
    <w:rsid w:val="001241A5"/>
    <w:rsid w:val="00130EFF"/>
    <w:rsid w:val="0014334A"/>
    <w:rsid w:val="001434A4"/>
    <w:rsid w:val="001637EA"/>
    <w:rsid w:val="001802C9"/>
    <w:rsid w:val="001952CC"/>
    <w:rsid w:val="001A01E8"/>
    <w:rsid w:val="001A32BE"/>
    <w:rsid w:val="001A398E"/>
    <w:rsid w:val="001A6D3A"/>
    <w:rsid w:val="001A799C"/>
    <w:rsid w:val="001D2754"/>
    <w:rsid w:val="001D774C"/>
    <w:rsid w:val="001E6088"/>
    <w:rsid w:val="001F2C3C"/>
    <w:rsid w:val="001F75AC"/>
    <w:rsid w:val="002020D2"/>
    <w:rsid w:val="002056D2"/>
    <w:rsid w:val="00217FDC"/>
    <w:rsid w:val="00222663"/>
    <w:rsid w:val="00223EE9"/>
    <w:rsid w:val="00227E90"/>
    <w:rsid w:val="002321E6"/>
    <w:rsid w:val="0024416E"/>
    <w:rsid w:val="00244A96"/>
    <w:rsid w:val="002571A9"/>
    <w:rsid w:val="00273CE1"/>
    <w:rsid w:val="00285DFF"/>
    <w:rsid w:val="002944B9"/>
    <w:rsid w:val="002973A4"/>
    <w:rsid w:val="002A6CC9"/>
    <w:rsid w:val="002B2CC7"/>
    <w:rsid w:val="002B32E4"/>
    <w:rsid w:val="002C1D39"/>
    <w:rsid w:val="002D3057"/>
    <w:rsid w:val="002E0FC4"/>
    <w:rsid w:val="002E2F8A"/>
    <w:rsid w:val="002F0E07"/>
    <w:rsid w:val="002F22C9"/>
    <w:rsid w:val="002F6B0C"/>
    <w:rsid w:val="002F6FA0"/>
    <w:rsid w:val="00353AFE"/>
    <w:rsid w:val="00355997"/>
    <w:rsid w:val="0037305B"/>
    <w:rsid w:val="0038282B"/>
    <w:rsid w:val="003868E5"/>
    <w:rsid w:val="003A0A68"/>
    <w:rsid w:val="003B2FE3"/>
    <w:rsid w:val="003D3AEF"/>
    <w:rsid w:val="003E2902"/>
    <w:rsid w:val="003E6B46"/>
    <w:rsid w:val="003E7328"/>
    <w:rsid w:val="004152AD"/>
    <w:rsid w:val="00425E43"/>
    <w:rsid w:val="0042622B"/>
    <w:rsid w:val="00430236"/>
    <w:rsid w:val="00433070"/>
    <w:rsid w:val="00434940"/>
    <w:rsid w:val="00437BC1"/>
    <w:rsid w:val="00444C97"/>
    <w:rsid w:val="00447247"/>
    <w:rsid w:val="00480A46"/>
    <w:rsid w:val="004931FE"/>
    <w:rsid w:val="004A0CDF"/>
    <w:rsid w:val="004A1C57"/>
    <w:rsid w:val="004C25E2"/>
    <w:rsid w:val="004F2997"/>
    <w:rsid w:val="004F5998"/>
    <w:rsid w:val="00505481"/>
    <w:rsid w:val="00515D34"/>
    <w:rsid w:val="0052754F"/>
    <w:rsid w:val="005346F8"/>
    <w:rsid w:val="00535EAC"/>
    <w:rsid w:val="00564054"/>
    <w:rsid w:val="005660B1"/>
    <w:rsid w:val="005814D4"/>
    <w:rsid w:val="005A755B"/>
    <w:rsid w:val="005B1007"/>
    <w:rsid w:val="005B6558"/>
    <w:rsid w:val="005D16EC"/>
    <w:rsid w:val="005F3A24"/>
    <w:rsid w:val="0060726E"/>
    <w:rsid w:val="00611A99"/>
    <w:rsid w:val="00615D46"/>
    <w:rsid w:val="00621BD6"/>
    <w:rsid w:val="006231CE"/>
    <w:rsid w:val="00627297"/>
    <w:rsid w:val="00643CD0"/>
    <w:rsid w:val="0066707E"/>
    <w:rsid w:val="00673392"/>
    <w:rsid w:val="00682529"/>
    <w:rsid w:val="00686D66"/>
    <w:rsid w:val="0069147A"/>
    <w:rsid w:val="00693E37"/>
    <w:rsid w:val="00697E2B"/>
    <w:rsid w:val="006A5824"/>
    <w:rsid w:val="006B2C49"/>
    <w:rsid w:val="006C5812"/>
    <w:rsid w:val="006D1AE0"/>
    <w:rsid w:val="00701609"/>
    <w:rsid w:val="007146D4"/>
    <w:rsid w:val="0072695F"/>
    <w:rsid w:val="007352D3"/>
    <w:rsid w:val="00735DE3"/>
    <w:rsid w:val="0076340F"/>
    <w:rsid w:val="007655B2"/>
    <w:rsid w:val="00776505"/>
    <w:rsid w:val="00784B36"/>
    <w:rsid w:val="007B1915"/>
    <w:rsid w:val="007B753D"/>
    <w:rsid w:val="007C602B"/>
    <w:rsid w:val="007D244C"/>
    <w:rsid w:val="007E0D3C"/>
    <w:rsid w:val="00800452"/>
    <w:rsid w:val="00805F60"/>
    <w:rsid w:val="0082020D"/>
    <w:rsid w:val="00823915"/>
    <w:rsid w:val="00824A08"/>
    <w:rsid w:val="00835A22"/>
    <w:rsid w:val="00837F0C"/>
    <w:rsid w:val="0084208F"/>
    <w:rsid w:val="00851200"/>
    <w:rsid w:val="00865E5A"/>
    <w:rsid w:val="00881C61"/>
    <w:rsid w:val="008964AA"/>
    <w:rsid w:val="00897774"/>
    <w:rsid w:val="008B53EF"/>
    <w:rsid w:val="008C4ABC"/>
    <w:rsid w:val="008C514A"/>
    <w:rsid w:val="008E071C"/>
    <w:rsid w:val="008E3F04"/>
    <w:rsid w:val="008E4DB6"/>
    <w:rsid w:val="008F6F60"/>
    <w:rsid w:val="00911F29"/>
    <w:rsid w:val="009446C8"/>
    <w:rsid w:val="00961BA3"/>
    <w:rsid w:val="00964588"/>
    <w:rsid w:val="00974B27"/>
    <w:rsid w:val="00995C79"/>
    <w:rsid w:val="00995D38"/>
    <w:rsid w:val="009970ED"/>
    <w:rsid w:val="009A28FC"/>
    <w:rsid w:val="009A633A"/>
    <w:rsid w:val="009B73D4"/>
    <w:rsid w:val="009B78CA"/>
    <w:rsid w:val="009C3CAE"/>
    <w:rsid w:val="009D0E5D"/>
    <w:rsid w:val="009E259B"/>
    <w:rsid w:val="009E2D30"/>
    <w:rsid w:val="009E30BF"/>
    <w:rsid w:val="00A10BFA"/>
    <w:rsid w:val="00A15147"/>
    <w:rsid w:val="00A527A9"/>
    <w:rsid w:val="00A56484"/>
    <w:rsid w:val="00A71739"/>
    <w:rsid w:val="00A924D9"/>
    <w:rsid w:val="00A93B41"/>
    <w:rsid w:val="00A96C94"/>
    <w:rsid w:val="00AA0481"/>
    <w:rsid w:val="00AE6B0D"/>
    <w:rsid w:val="00B02A16"/>
    <w:rsid w:val="00B20EB8"/>
    <w:rsid w:val="00B22CAE"/>
    <w:rsid w:val="00B22FDE"/>
    <w:rsid w:val="00B27050"/>
    <w:rsid w:val="00B375F1"/>
    <w:rsid w:val="00B408F1"/>
    <w:rsid w:val="00B41165"/>
    <w:rsid w:val="00B4240D"/>
    <w:rsid w:val="00B45DA5"/>
    <w:rsid w:val="00B52A4A"/>
    <w:rsid w:val="00B835B9"/>
    <w:rsid w:val="00BA0200"/>
    <w:rsid w:val="00BB4D95"/>
    <w:rsid w:val="00BD4092"/>
    <w:rsid w:val="00C0149C"/>
    <w:rsid w:val="00C146DE"/>
    <w:rsid w:val="00C15410"/>
    <w:rsid w:val="00C22858"/>
    <w:rsid w:val="00C2566E"/>
    <w:rsid w:val="00C305F3"/>
    <w:rsid w:val="00C352BC"/>
    <w:rsid w:val="00C37ED1"/>
    <w:rsid w:val="00C4645F"/>
    <w:rsid w:val="00C62EEB"/>
    <w:rsid w:val="00C777AB"/>
    <w:rsid w:val="00C84F5E"/>
    <w:rsid w:val="00C9628A"/>
    <w:rsid w:val="00C97368"/>
    <w:rsid w:val="00CA4017"/>
    <w:rsid w:val="00CB1DBC"/>
    <w:rsid w:val="00CF4CCA"/>
    <w:rsid w:val="00CF6528"/>
    <w:rsid w:val="00D026AE"/>
    <w:rsid w:val="00D06E75"/>
    <w:rsid w:val="00D07967"/>
    <w:rsid w:val="00D11DE9"/>
    <w:rsid w:val="00D1531D"/>
    <w:rsid w:val="00D368D0"/>
    <w:rsid w:val="00D40B0F"/>
    <w:rsid w:val="00D53654"/>
    <w:rsid w:val="00D559C8"/>
    <w:rsid w:val="00D84FA3"/>
    <w:rsid w:val="00DA36D3"/>
    <w:rsid w:val="00DB2B08"/>
    <w:rsid w:val="00DB45AF"/>
    <w:rsid w:val="00DF3380"/>
    <w:rsid w:val="00E22934"/>
    <w:rsid w:val="00E42D46"/>
    <w:rsid w:val="00E448DC"/>
    <w:rsid w:val="00E513CD"/>
    <w:rsid w:val="00E5515C"/>
    <w:rsid w:val="00E606BD"/>
    <w:rsid w:val="00E67F1B"/>
    <w:rsid w:val="00E7151F"/>
    <w:rsid w:val="00EA3DE4"/>
    <w:rsid w:val="00EB442D"/>
    <w:rsid w:val="00EC59D4"/>
    <w:rsid w:val="00ED6A25"/>
    <w:rsid w:val="00EE5992"/>
    <w:rsid w:val="00F00CC1"/>
    <w:rsid w:val="00F03BEC"/>
    <w:rsid w:val="00F21497"/>
    <w:rsid w:val="00F236ED"/>
    <w:rsid w:val="00F3200D"/>
    <w:rsid w:val="00F358F0"/>
    <w:rsid w:val="00F373F9"/>
    <w:rsid w:val="00F42F0A"/>
    <w:rsid w:val="00F43D23"/>
    <w:rsid w:val="00F522DC"/>
    <w:rsid w:val="00F74276"/>
    <w:rsid w:val="00F83023"/>
    <w:rsid w:val="00F872CE"/>
    <w:rsid w:val="00F92C53"/>
    <w:rsid w:val="00FA1404"/>
    <w:rsid w:val="00FD1B37"/>
    <w:rsid w:val="00FE2991"/>
    <w:rsid w:val="00FE37AB"/>
    <w:rsid w:val="00FE6D26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AA0481"/>
  </w:style>
  <w:style w:type="paragraph" w:styleId="Zkladntextodsazen">
    <w:name w:val="Body Text Indent"/>
    <w:basedOn w:val="Normln"/>
    <w:link w:val="ZkladntextodsazenChar"/>
    <w:rsid w:val="00227E90"/>
    <w:pPr>
      <w:keepNext/>
      <w:keepLines/>
      <w:spacing w:after="0" w:line="360" w:lineRule="auto"/>
      <w:ind w:left="113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27E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4588"/>
    <w:rPr>
      <w:color w:val="954F72" w:themeColor="followedHyperlink"/>
      <w:u w:val="single"/>
    </w:rPr>
  </w:style>
  <w:style w:type="character" w:customStyle="1" w:styleId="czechvoc-odkaz-text">
    <w:name w:val="czechvoc-odkaz-text"/>
    <w:basedOn w:val="Standardnpsmoodstavce"/>
    <w:rsid w:val="00F8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-dpmk@asd-softwar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logo-a-znelka-cs-1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-sbirk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.go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60D1-71B3-4709-BB69-AC78DC63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4316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Libuše Princová</cp:lastModifiedBy>
  <cp:revision>18</cp:revision>
  <cp:lastPrinted>2024-08-29T12:37:00Z</cp:lastPrinted>
  <dcterms:created xsi:type="dcterms:W3CDTF">2025-08-11T07:18:00Z</dcterms:created>
  <dcterms:modified xsi:type="dcterms:W3CDTF">2025-08-29T11:40:00Z</dcterms:modified>
</cp:coreProperties>
</file>