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2B" w:rsidRPr="00C777AB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7975B6">
        <w:rPr>
          <w:b/>
          <w:sz w:val="36"/>
        </w:rPr>
        <w:t>1562</w:t>
      </w:r>
    </w:p>
    <w:p w:rsidR="007975B6" w:rsidRDefault="007975B6" w:rsidP="007975B6">
      <w:pPr>
        <w:spacing w:after="0" w:line="346" w:lineRule="auto"/>
        <w:ind w:right="289"/>
        <w:jc w:val="center"/>
      </w:pPr>
      <w:r w:rsidRPr="00344CF7">
        <w:rPr>
          <w:b/>
          <w:sz w:val="36"/>
        </w:rPr>
        <w:t>Podpora kulturních</w:t>
      </w:r>
      <w:r>
        <w:rPr>
          <w:b/>
          <w:sz w:val="36"/>
        </w:rPr>
        <w:t xml:space="preserve"> </w:t>
      </w:r>
      <w:r w:rsidRPr="00344CF7">
        <w:rPr>
          <w:b/>
          <w:sz w:val="36"/>
        </w:rPr>
        <w:t>aktivit osob se ZP a seniorů</w:t>
      </w:r>
    </w:p>
    <w:p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4A44DF" w:rsidRPr="00324082">
        <w:t>Kulturní aktivity</w:t>
      </w:r>
    </w:p>
    <w:p w:rsidR="00D53654" w:rsidRDefault="00D53654" w:rsidP="001A01E8">
      <w:pPr>
        <w:jc w:val="both"/>
      </w:pPr>
    </w:p>
    <w:p w:rsidR="00D53654" w:rsidRPr="00324082" w:rsidRDefault="00D53654" w:rsidP="001A01E8">
      <w:pPr>
        <w:jc w:val="both"/>
        <w:rPr>
          <w:color w:val="FF0000"/>
        </w:rPr>
      </w:pPr>
      <w:r w:rsidRPr="00C04A83">
        <w:t>Ministerstvo kultury</w:t>
      </w:r>
      <w:r w:rsidR="00621BD6" w:rsidRPr="00C04A83">
        <w:t xml:space="preserve"> ČR</w:t>
      </w:r>
      <w:r w:rsidRPr="00C04A83">
        <w:t xml:space="preserve"> (dále jen „MK</w:t>
      </w:r>
      <w:r w:rsidR="00621BD6" w:rsidRPr="00C04A83">
        <w:t>ČR</w:t>
      </w:r>
      <w:r w:rsidRPr="00C04A83">
        <w:t>“) vyhlašuje podle zákona č. 218/2000 Sb., o rozpočtových pravidlech a o změně některých souvisejících zákonů (rozpočtová pravidla), v platném znění (dále jen „rozpočtová pravidla“)</w:t>
      </w:r>
      <w:r w:rsidR="009D1F57" w:rsidRPr="00C04A83">
        <w:t xml:space="preserve"> a s důrazem na naplňování Úmluvy o zachování nemateriálního kulturního dědictví (2003) </w:t>
      </w:r>
      <w:r w:rsidRPr="00C04A83">
        <w:t>(dále jen „výzva“).</w:t>
      </w:r>
      <w:r w:rsidR="00324082" w:rsidRPr="00C04A83">
        <w:t xml:space="preserve">  </w:t>
      </w:r>
    </w:p>
    <w:p w:rsidR="00E367AD" w:rsidRDefault="00E367AD" w:rsidP="00C777AB">
      <w:pPr>
        <w:jc w:val="center"/>
        <w:rPr>
          <w:b/>
          <w:sz w:val="24"/>
        </w:rPr>
      </w:pPr>
    </w:p>
    <w:p w:rsidR="00D53654" w:rsidRPr="00C777AB" w:rsidRDefault="00D53654" w:rsidP="00C777AB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BC5AB0">
        <w:rPr>
          <w:b/>
          <w:sz w:val="24"/>
        </w:rPr>
        <w:t>30.9.2025</w:t>
      </w:r>
      <w:r w:rsidRPr="00BC5AB0">
        <w:rPr>
          <w:b/>
          <w:i/>
          <w:sz w:val="24"/>
        </w:rPr>
        <w:t xml:space="preserve"> </w:t>
      </w:r>
      <w:r w:rsidRPr="006444D2">
        <w:rPr>
          <w:b/>
          <w:sz w:val="24"/>
        </w:rPr>
        <w:t>(</w:t>
      </w:r>
      <w:r w:rsidR="00BC5AB0" w:rsidRPr="006444D2">
        <w:rPr>
          <w:b/>
          <w:sz w:val="24"/>
        </w:rPr>
        <w:t>15</w:t>
      </w:r>
      <w:r w:rsidRPr="006444D2">
        <w:rPr>
          <w:b/>
          <w:sz w:val="24"/>
        </w:rPr>
        <w:t>:</w:t>
      </w:r>
      <w:r w:rsidR="00BC5AB0" w:rsidRPr="006444D2">
        <w:rPr>
          <w:b/>
          <w:sz w:val="24"/>
        </w:rPr>
        <w:t>00</w:t>
      </w:r>
      <w:r w:rsidRPr="006444D2">
        <w:rPr>
          <w:b/>
          <w:sz w:val="24"/>
        </w:rPr>
        <w:t xml:space="preserve"> hod.)</w:t>
      </w:r>
    </w:p>
    <w:p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:rsidTr="00C777AB">
        <w:tc>
          <w:tcPr>
            <w:tcW w:w="9062" w:type="dxa"/>
            <w:gridSpan w:val="2"/>
            <w:shd w:val="clear" w:color="auto" w:fill="00B0F0"/>
          </w:tcPr>
          <w:p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E42998">
              <w:rPr>
                <w:b/>
              </w:rPr>
              <w:t>156</w:t>
            </w:r>
            <w:r w:rsidR="00E367AD">
              <w:rPr>
                <w:b/>
              </w:rPr>
              <w:t>2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:rsidR="00D53654" w:rsidRPr="00E367AD" w:rsidRDefault="00E367AD">
            <w:pPr>
              <w:rPr>
                <w:b/>
              </w:rPr>
            </w:pPr>
            <w:r w:rsidRPr="00E367AD">
              <w:rPr>
                <w:b/>
              </w:rPr>
              <w:t>Podpora kulturních aktivit osob se ZP a seniorů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:rsidR="00D53654" w:rsidRPr="004A44DF" w:rsidRDefault="004A44DF">
            <w:pPr>
              <w:rPr>
                <w:b/>
              </w:rPr>
            </w:pPr>
            <w:r w:rsidRPr="00E42998">
              <w:rPr>
                <w:b/>
                <w:i/>
              </w:rPr>
              <w:t>Kulturní aktivity</w:t>
            </w:r>
          </w:p>
        </w:tc>
      </w:tr>
      <w:tr w:rsidR="00D53654" w:rsidTr="00D53654">
        <w:tc>
          <w:tcPr>
            <w:tcW w:w="2405" w:type="dxa"/>
          </w:tcPr>
          <w:p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:rsidR="00D53654" w:rsidRDefault="006231CE">
            <w:r>
              <w:t xml:space="preserve">Žádosti lze podat v období </w:t>
            </w:r>
            <w:r w:rsidR="00950C15" w:rsidRPr="00950C15">
              <w:rPr>
                <w:b/>
                <w:i/>
              </w:rPr>
              <w:t>29.08.2025</w:t>
            </w:r>
            <w:r w:rsidR="00950C15">
              <w:t xml:space="preserve"> </w:t>
            </w:r>
            <w:r w:rsidR="004A44DF" w:rsidRPr="00950C15">
              <w:rPr>
                <w:b/>
                <w:i/>
              </w:rPr>
              <w:t>–</w:t>
            </w:r>
            <w:r w:rsidRPr="00950C15">
              <w:rPr>
                <w:b/>
                <w:i/>
              </w:rPr>
              <w:t xml:space="preserve"> </w:t>
            </w:r>
            <w:r w:rsidR="004A44DF" w:rsidRPr="00950C15">
              <w:rPr>
                <w:b/>
                <w:i/>
              </w:rPr>
              <w:t>30.9.2025</w:t>
            </w:r>
            <w:r w:rsidRPr="00950C15">
              <w:rPr>
                <w:b/>
                <w:i/>
              </w:rPr>
              <w:t xml:space="preserve"> (</w:t>
            </w:r>
            <w:r w:rsidR="004A44DF" w:rsidRPr="00950C15">
              <w:rPr>
                <w:b/>
                <w:i/>
              </w:rPr>
              <w:t>15:00</w:t>
            </w:r>
            <w:r w:rsidRPr="00950C15">
              <w:rPr>
                <w:b/>
                <w:i/>
              </w:rPr>
              <w:t xml:space="preserve"> hod.)</w:t>
            </w:r>
          </w:p>
        </w:tc>
      </w:tr>
      <w:tr w:rsidR="006231CE" w:rsidTr="00D53654">
        <w:tc>
          <w:tcPr>
            <w:tcW w:w="2405" w:type="dxa"/>
          </w:tcPr>
          <w:p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:rsidR="006231CE" w:rsidRDefault="006231CE">
            <w:r>
              <w:t xml:space="preserve">Podpořené projekty lze realizovat v období mezi </w:t>
            </w:r>
            <w:r w:rsidR="00BC5AB0" w:rsidRPr="004A44DF">
              <w:rPr>
                <w:b/>
              </w:rPr>
              <w:t>1.</w:t>
            </w:r>
            <w:r w:rsidR="004A44DF" w:rsidRPr="004A44DF">
              <w:rPr>
                <w:b/>
              </w:rPr>
              <w:t xml:space="preserve"> </w:t>
            </w:r>
            <w:r w:rsidR="00BC5AB0" w:rsidRPr="004A44DF">
              <w:rPr>
                <w:b/>
              </w:rPr>
              <w:t>1</w:t>
            </w:r>
            <w:r w:rsidR="004A44DF" w:rsidRPr="004A44DF">
              <w:rPr>
                <w:b/>
              </w:rPr>
              <w:t xml:space="preserve">. </w:t>
            </w:r>
            <w:r w:rsidR="00BC5AB0" w:rsidRPr="004A44DF">
              <w:rPr>
                <w:b/>
              </w:rPr>
              <w:t>2026</w:t>
            </w:r>
            <w:r w:rsidR="004A44DF" w:rsidRPr="004A44DF">
              <w:rPr>
                <w:b/>
              </w:rPr>
              <w:t xml:space="preserve"> - </w:t>
            </w:r>
            <w:r w:rsidR="00BC5AB0" w:rsidRPr="004A44DF">
              <w:rPr>
                <w:b/>
              </w:rPr>
              <w:t>31.12.2026</w:t>
            </w:r>
            <w:r w:rsidR="00BC5AB0">
              <w:t xml:space="preserve"> </w:t>
            </w:r>
          </w:p>
        </w:tc>
      </w:tr>
      <w:tr w:rsidR="006231CE" w:rsidTr="00D53654">
        <w:tc>
          <w:tcPr>
            <w:tcW w:w="2405" w:type="dxa"/>
          </w:tcPr>
          <w:p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:rsidR="006231CE" w:rsidRPr="00B04590" w:rsidRDefault="004A44DF">
            <w:r w:rsidRPr="00B04590">
              <w:t>Odbor regionální a národnostní kultury</w:t>
            </w:r>
          </w:p>
        </w:tc>
      </w:tr>
    </w:tbl>
    <w:p w:rsidR="00D53654" w:rsidRDefault="00D53654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6231CE" w:rsidRDefault="006231CE"/>
    <w:p w:rsidR="004A44DF" w:rsidRDefault="004A44DF"/>
    <w:p w:rsidR="006231CE" w:rsidRDefault="006231CE"/>
    <w:p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36D5" w:rsidRDefault="000036D5">
          <w:pPr>
            <w:pStyle w:val="Nadpisobsahu"/>
          </w:pPr>
          <w:r>
            <w:t>Obsah</w:t>
          </w:r>
        </w:p>
        <w:p w:rsidR="00C777AB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63974" w:history="1">
            <w:r w:rsidR="00C777AB" w:rsidRPr="005228FB">
              <w:rPr>
                <w:rStyle w:val="Hypertextovodkaz"/>
                <w:b/>
                <w:noProof/>
              </w:rPr>
              <w:t>1. Cíl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5" w:history="1">
            <w:r w:rsidR="00C777AB" w:rsidRPr="005228FB">
              <w:rPr>
                <w:rStyle w:val="Hypertextovodkaz"/>
                <w:b/>
                <w:noProof/>
              </w:rPr>
              <w:t>2. Oprávnění žadatelé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6" w:history="1">
            <w:r w:rsidR="00C777AB" w:rsidRPr="005228FB">
              <w:rPr>
                <w:rStyle w:val="Hypertextovodkaz"/>
                <w:b/>
                <w:noProof/>
              </w:rPr>
              <w:t>3. Popis podporovaných aktivit – tematické okruhy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3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7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_Toc173163979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4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5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6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3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_Toc173163983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4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_Toc173163984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7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5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_Toc173163985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6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_Toc173163986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8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7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14. Realizace a změny projektu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_Toc173163987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8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_Toc173163988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9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89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_Toc173163989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0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 xml:space="preserve">17. </w:t>
            </w:r>
            <w:r w:rsidR="00DB2B08">
              <w:rPr>
                <w:rStyle w:val="Hypertextovodkaz"/>
                <w:rFonts w:cstheme="majorHAnsi"/>
                <w:b/>
                <w:noProof/>
              </w:rPr>
              <w:t>Další p</w:t>
            </w:r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odmínky poskytnutí dotace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_Toc173163990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10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1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_Toc173163991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C777AB" w:rsidRDefault="0001411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3163992" w:history="1">
            <w:r w:rsidR="00C777AB" w:rsidRPr="005228FB">
              <w:rPr>
                <w:rStyle w:val="Hypertextovodkaz"/>
                <w:rFonts w:cstheme="majorHAnsi"/>
                <w:b/>
                <w:noProof/>
              </w:rPr>
              <w:t>19. Kontakty a další informace</w:t>
            </w:r>
            <w:r w:rsidR="00C777AB">
              <w:rPr>
                <w:noProof/>
                <w:webHidden/>
              </w:rPr>
              <w:tab/>
            </w:r>
            <w:r w:rsidR="00C777AB">
              <w:rPr>
                <w:noProof/>
                <w:webHidden/>
              </w:rPr>
              <w:fldChar w:fldCharType="begin"/>
            </w:r>
            <w:r w:rsidR="00C777AB">
              <w:rPr>
                <w:noProof/>
                <w:webHidden/>
              </w:rPr>
              <w:instrText xml:space="preserve"> PAGEREF _Toc173163992 \h </w:instrText>
            </w:r>
            <w:r w:rsidR="00C777AB">
              <w:rPr>
                <w:noProof/>
                <w:webHidden/>
              </w:rPr>
            </w:r>
            <w:r w:rsidR="00C777AB">
              <w:rPr>
                <w:noProof/>
                <w:webHidden/>
              </w:rPr>
              <w:fldChar w:fldCharType="separate"/>
            </w:r>
            <w:r w:rsidR="00C777AB">
              <w:rPr>
                <w:noProof/>
                <w:webHidden/>
              </w:rPr>
              <w:t>12</w:t>
            </w:r>
            <w:r w:rsidR="00C777AB">
              <w:rPr>
                <w:noProof/>
                <w:webHidden/>
              </w:rPr>
              <w:fldChar w:fldCharType="end"/>
            </w:r>
          </w:hyperlink>
        </w:p>
        <w:p w:rsidR="000036D5" w:rsidRDefault="000036D5">
          <w:r>
            <w:rPr>
              <w:b/>
              <w:bCs/>
            </w:rPr>
            <w:fldChar w:fldCharType="end"/>
          </w:r>
        </w:p>
      </w:sdtContent>
    </w:sdt>
    <w:p w:rsidR="0082020D" w:rsidRDefault="0082020D"/>
    <w:p w:rsidR="0082020D" w:rsidRDefault="0082020D"/>
    <w:p w:rsidR="0082020D" w:rsidRDefault="0082020D"/>
    <w:p w:rsidR="0082020D" w:rsidRDefault="0082020D"/>
    <w:p w:rsidR="0082020D" w:rsidRDefault="0082020D"/>
    <w:p w:rsidR="0082020D" w:rsidRDefault="0082020D"/>
    <w:p w:rsidR="005B21EA" w:rsidRDefault="005B21EA"/>
    <w:p w:rsidR="005B21EA" w:rsidRDefault="005B21EA"/>
    <w:p w:rsidR="0082020D" w:rsidRDefault="0082020D"/>
    <w:p w:rsidR="0082020D" w:rsidRDefault="0082020D"/>
    <w:p w:rsidR="004A0CDF" w:rsidRDefault="004A0CDF"/>
    <w:p w:rsidR="001A32BE" w:rsidRPr="000036D5" w:rsidRDefault="001A32BE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0" w:name="_Toc173163974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0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:rsidR="004A44DF" w:rsidRPr="00E367AD" w:rsidRDefault="00E367AD" w:rsidP="002015CA">
      <w:pPr>
        <w:spacing w:after="266"/>
        <w:jc w:val="both"/>
      </w:pPr>
      <w:r w:rsidRPr="003B418B">
        <w:t>Účelem výběrového dotačního řízení je poskytování dotace na realizaci projektů, podporujících</w:t>
      </w:r>
      <w:r>
        <w:t xml:space="preserve"> prezentaci uměleckých aktivit osob se zdravotním postižením pro sebe a pro veřejnost, i dlouhodobou systematickou práci v zařízeních, kde jsou tito lidé umístěni trvale nebo do nich docházejí k dennímu pobytu. Podporovány jsou též aktivity, které nabízejí hodnotné využití volného času seniorů, jsou zdrojem jejich seberealizace a sociálních kontaktů, přispívají k prevenci sociálního vyloučení a izolace seniorů a jsou příležitostí pro posílení mezigeneračních kontaktů a sounáležitosti.</w:t>
      </w:r>
    </w:p>
    <w:p w:rsidR="00995D38" w:rsidRPr="00244A96" w:rsidRDefault="00B02A16" w:rsidP="00244A96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1" w:name="_Toc173163975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1"/>
    </w:p>
    <w:p w:rsidR="00511940" w:rsidRPr="004A44DF" w:rsidRDefault="00511940" w:rsidP="002015C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cstheme="minorHAnsi"/>
          <w:bCs/>
        </w:rPr>
      </w:pPr>
      <w:r w:rsidRPr="004A44DF">
        <w:rPr>
          <w:rFonts w:cstheme="minorHAnsi"/>
          <w:bCs/>
        </w:rPr>
        <w:t xml:space="preserve">Fyzické osoby a právnické osoby registrované nebo založené do 31. 12. 2024, které zabezpečují konkrétní kulturní činnost v regionu či obci nejméně jeden rok. </w:t>
      </w:r>
    </w:p>
    <w:p w:rsidR="007146D4" w:rsidRDefault="007146D4" w:rsidP="002015CA">
      <w:pPr>
        <w:pStyle w:val="Odstavecseseznamem"/>
        <w:numPr>
          <w:ilvl w:val="0"/>
          <w:numId w:val="2"/>
        </w:numPr>
        <w:jc w:val="both"/>
      </w:pPr>
      <w:r>
        <w:t xml:space="preserve">Žadatel, který je právnickou osobou, musí mít sídlo na území České republiky. Žadatel, který je fyzickou osobou musí být občanem České republiky, nebo cizincem s trvalým pobytem v České republice. </w:t>
      </w:r>
    </w:p>
    <w:p w:rsidR="002E2F8A" w:rsidRDefault="007146D4" w:rsidP="002015CA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 ostatních projektů)</w:t>
      </w:r>
      <w:r>
        <w:t xml:space="preserve">. </w:t>
      </w:r>
    </w:p>
    <w:p w:rsidR="007146D4" w:rsidRDefault="007146D4" w:rsidP="002015CA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:rsidR="002E2F8A" w:rsidRDefault="002E2F8A" w:rsidP="002015CA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 fyzické osoby, pokud se nejedná o přímou úhradu nákladů spojených s realizací projektu.</w:t>
      </w:r>
    </w:p>
    <w:p w:rsidR="00E448DC" w:rsidRDefault="00E448DC" w:rsidP="002015CA">
      <w:pPr>
        <w:pStyle w:val="Odstavecseseznamem"/>
        <w:numPr>
          <w:ilvl w:val="0"/>
          <w:numId w:val="2"/>
        </w:numPr>
        <w:jc w:val="both"/>
      </w:pPr>
      <w:r w:rsidRPr="004F2997">
        <w:t>Žadatel může ve výzvě předložit</w:t>
      </w:r>
      <w:r>
        <w:t xml:space="preserve"> maximálně</w:t>
      </w:r>
      <w:r w:rsidR="00E0415D">
        <w:t xml:space="preserve"> </w:t>
      </w:r>
      <w:r w:rsidR="00E367AD" w:rsidRPr="00474CA2">
        <w:rPr>
          <w:b/>
        </w:rPr>
        <w:t>2</w:t>
      </w:r>
      <w:r w:rsidR="00D42BBA">
        <w:rPr>
          <w:b/>
        </w:rPr>
        <w:t xml:space="preserve"> </w:t>
      </w:r>
      <w:r w:rsidR="00E0415D" w:rsidRPr="00E0415D">
        <w:rPr>
          <w:b/>
        </w:rPr>
        <w:t>projekty</w:t>
      </w:r>
      <w:r>
        <w:t>, každý formou samostatné žádosti.</w:t>
      </w:r>
      <w:r w:rsidR="001E6088">
        <w:t xml:space="preserve"> </w:t>
      </w:r>
    </w:p>
    <w:p w:rsidR="002E2F8A" w:rsidRPr="004A44DF" w:rsidRDefault="00BC5AB0" w:rsidP="002015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4A44DF">
        <w:rPr>
          <w:b/>
        </w:rPr>
        <w:t>Tato výzva není určena státním příspěvkov</w:t>
      </w:r>
      <w:r w:rsidR="00474CA2">
        <w:rPr>
          <w:b/>
        </w:rPr>
        <w:t>ým</w:t>
      </w:r>
      <w:r w:rsidRPr="004A44DF">
        <w:rPr>
          <w:b/>
        </w:rPr>
        <w:t xml:space="preserve"> organizac</w:t>
      </w:r>
      <w:r w:rsidR="00474CA2">
        <w:rPr>
          <w:b/>
        </w:rPr>
        <w:t>ím</w:t>
      </w:r>
      <w:r w:rsidR="004A44DF">
        <w:rPr>
          <w:b/>
        </w:rPr>
        <w:t xml:space="preserve"> zřizovan</w:t>
      </w:r>
      <w:r w:rsidR="00141030">
        <w:rPr>
          <w:b/>
        </w:rPr>
        <w:t>ým</w:t>
      </w:r>
      <w:r w:rsidR="004A44DF">
        <w:rPr>
          <w:b/>
        </w:rPr>
        <w:t xml:space="preserve"> </w:t>
      </w:r>
      <w:r w:rsidRPr="004A44DF">
        <w:rPr>
          <w:b/>
        </w:rPr>
        <w:t>Ministerstv</w:t>
      </w:r>
      <w:r w:rsidR="004A44DF">
        <w:rPr>
          <w:b/>
        </w:rPr>
        <w:t>em</w:t>
      </w:r>
      <w:r w:rsidRPr="004A44DF">
        <w:rPr>
          <w:b/>
        </w:rPr>
        <w:t xml:space="preserve"> kultury.</w:t>
      </w:r>
    </w:p>
    <w:p w:rsidR="00B02A16" w:rsidRDefault="00B02A16" w:rsidP="004A0CDF">
      <w:pPr>
        <w:jc w:val="both"/>
      </w:pPr>
    </w:p>
    <w:p w:rsidR="0052754F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3163976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>. Popis podporovaných aktivit – tematické okruhy</w:t>
      </w:r>
      <w:bookmarkEnd w:id="2"/>
    </w:p>
    <w:p w:rsidR="0069745B" w:rsidRPr="00EB0567" w:rsidRDefault="0069745B" w:rsidP="002015CA">
      <w:pPr>
        <w:spacing w:after="0"/>
        <w:jc w:val="both"/>
        <w:rPr>
          <w:rFonts w:cstheme="minorHAnsi"/>
        </w:rPr>
      </w:pPr>
      <w:r w:rsidRPr="00EB0567">
        <w:rPr>
          <w:rFonts w:cstheme="minorHAnsi"/>
        </w:rPr>
        <w:t>V tomto programu jsou podporovány projekty, zaměřené především na následující aktivity: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využití terapeutické funkce kultury ke kompenzaci znevýhodnění zdravotním postižením,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proofErr w:type="spellStart"/>
      <w:r w:rsidRPr="00EB0567">
        <w:rPr>
          <w:rFonts w:cstheme="minorHAnsi"/>
        </w:rPr>
        <w:t>arteterapeutické</w:t>
      </w:r>
      <w:proofErr w:type="spellEnd"/>
      <w:r w:rsidRPr="00EB0567">
        <w:rPr>
          <w:rFonts w:cstheme="minorHAnsi"/>
        </w:rPr>
        <w:t xml:space="preserve"> programy pro osoby se zdravotním postižením a seniory,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prezentace umělecké tvorby jako cesta k ovlivňování veřejnosti,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tvorba zdravotně postižených profesionálních umělců (např. v divadelních souborech),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 xml:space="preserve">činnost osob se zdravotním postižením a seniorů v amatérských souborech a dílnách s účastí profesionálních umělců a lektorů, 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umělecká tvorba profesionálních a neprofesionálních umělců pro osoby se zdravotním postižením, seniory a dlouhodobě nemocné v nemocnicích a ústavech sociální péče,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zájmové a vzdělávací aktivity pro osoby se zdravotním postižením a seniory v kulturních oborech ve volném čase,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kulturní aktivity zdravotně postižených dětí a mládeže,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EB0567">
        <w:rPr>
          <w:rFonts w:cstheme="minorHAnsi"/>
        </w:rPr>
        <w:t>usnadnění přístupu ke kultuře odstraňováním informačních bariér, usnadnění komunikace mezi postiženými navzájem a postiženými a zdravými občany (zvukové knihy a časopisy, tlumočení divadelních představení, titulkování filmů apod.),</w:t>
      </w:r>
    </w:p>
    <w:p w:rsidR="0069745B" w:rsidRPr="00EB0567" w:rsidRDefault="0069745B" w:rsidP="002015CA">
      <w:pPr>
        <w:pStyle w:val="Odstavecseseznamem"/>
        <w:numPr>
          <w:ilvl w:val="0"/>
          <w:numId w:val="26"/>
        </w:numPr>
        <w:spacing w:after="200" w:line="276" w:lineRule="auto"/>
        <w:jc w:val="both"/>
        <w:rPr>
          <w:rFonts w:cstheme="minorHAnsi"/>
          <w:szCs w:val="24"/>
        </w:rPr>
      </w:pPr>
      <w:r w:rsidRPr="00EB0567">
        <w:rPr>
          <w:rFonts w:cstheme="minorHAnsi"/>
          <w:szCs w:val="24"/>
        </w:rPr>
        <w:t>odstraňování architektonických bariér v kulturních zařízeních (rozumí se pouze technické vybavení neinvestičními prostředky).</w:t>
      </w:r>
    </w:p>
    <w:p w:rsidR="00831440" w:rsidRPr="00D42BBA" w:rsidRDefault="00831440" w:rsidP="00845073">
      <w:pPr>
        <w:spacing w:after="0"/>
        <w:rPr>
          <w:rFonts w:cstheme="minorHAnsi"/>
          <w:bCs/>
          <w:highlight w:val="cyan"/>
        </w:rPr>
      </w:pPr>
    </w:p>
    <w:p w:rsidR="00B04590" w:rsidRDefault="00B04590" w:rsidP="00B04590">
      <w:pPr>
        <w:rPr>
          <w:color w:val="FF0000"/>
        </w:rPr>
      </w:pPr>
      <w:r>
        <w:rPr>
          <w:color w:val="FF0000"/>
        </w:rPr>
        <w:lastRenderedPageBreak/>
        <w:t>Upozornění: Projekty předkládané v tomto programu musí zohledňovat kritérium přístupnosti (viz Podrobný strukturovaný popis projektu).</w:t>
      </w:r>
    </w:p>
    <w:p w:rsidR="00736586" w:rsidRPr="00736586" w:rsidRDefault="00736586" w:rsidP="004A0CDF">
      <w:pPr>
        <w:jc w:val="both"/>
        <w:rPr>
          <w:b/>
        </w:rPr>
      </w:pPr>
    </w:p>
    <w:p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3" w:name="_Toc173163977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3"/>
    </w:p>
    <w:p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</w:t>
      </w:r>
      <w:r w:rsidRPr="00282E88">
        <w:rPr>
          <w:b/>
        </w:rPr>
        <w:t>neinvestiční, účelově vázané dotace</w:t>
      </w:r>
      <w:r>
        <w:t xml:space="preserve"> v souladu s ustanovením § 14 rozpočtových pravidel a zákonem č. 500/2004 Sb., správní řád, ve znění pozdějších předpisů (dále jen „správní řád“), a to v rozsahu stanoveném ustanovením § </w:t>
      </w:r>
      <w:proofErr w:type="gramStart"/>
      <w:r>
        <w:t>14q</w:t>
      </w:r>
      <w:proofErr w:type="gramEnd"/>
      <w:r>
        <w:t xml:space="preserve"> rozpočtových pravidel. </w:t>
      </w:r>
    </w:p>
    <w:p w:rsidR="004F5998" w:rsidRDefault="004F5998" w:rsidP="0059743D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:rsidR="002F22C9" w:rsidRDefault="002A6CC9" w:rsidP="0059743D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</w:t>
      </w:r>
      <w:r w:rsidR="0038282B">
        <w:t xml:space="preserve">nejvýše do </w:t>
      </w:r>
      <w:r w:rsidR="00B42086" w:rsidRPr="00282E88">
        <w:rPr>
          <w:b/>
        </w:rPr>
        <w:t>70</w:t>
      </w:r>
      <w:r w:rsidR="00794618">
        <w:rPr>
          <w:b/>
        </w:rPr>
        <w:t xml:space="preserve"> </w:t>
      </w:r>
      <w:r w:rsidR="0038282B" w:rsidRPr="00282E88">
        <w:rPr>
          <w:b/>
        </w:rPr>
        <w:t xml:space="preserve">% celkových </w:t>
      </w:r>
      <w:r w:rsidR="00B42086" w:rsidRPr="00282E88">
        <w:rPr>
          <w:b/>
        </w:rPr>
        <w:t>nákladů</w:t>
      </w:r>
      <w:r w:rsidR="0038282B">
        <w:t xml:space="preserve"> projektu.</w:t>
      </w:r>
    </w:p>
    <w:p w:rsidR="0038282B" w:rsidRPr="002F22C9" w:rsidRDefault="0038282B" w:rsidP="0059743D">
      <w:pPr>
        <w:pStyle w:val="Odstavecseseznamem"/>
        <w:numPr>
          <w:ilvl w:val="0"/>
          <w:numId w:val="3"/>
        </w:numPr>
        <w:jc w:val="both"/>
      </w:pPr>
      <w:bookmarkStart w:id="4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4"/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:rsidR="00784B36" w:rsidRDefault="00784B36" w:rsidP="0059743D">
      <w:pPr>
        <w:pStyle w:val="Odstavecseseznamem"/>
        <w:numPr>
          <w:ilvl w:val="0"/>
          <w:numId w:val="3"/>
        </w:numPr>
        <w:jc w:val="both"/>
      </w:pPr>
      <w:r>
        <w:t>Finanční prostředky MKČR proplácí</w:t>
      </w:r>
      <w:r w:rsidR="000912B7">
        <w:t xml:space="preserve"> </w:t>
      </w:r>
      <w:r w:rsidR="007B753D">
        <w:t xml:space="preserve">na základě </w:t>
      </w:r>
      <w:r w:rsidR="000912B7">
        <w:t>rozhodnutí o poskytnutí dotace</w:t>
      </w:r>
      <w:r w:rsidR="00F236ED">
        <w:t xml:space="preserve">. </w:t>
      </w:r>
    </w:p>
    <w:p w:rsidR="0069745B" w:rsidRDefault="0069745B" w:rsidP="0069745B">
      <w:pPr>
        <w:numPr>
          <w:ilvl w:val="0"/>
          <w:numId w:val="3"/>
        </w:numPr>
        <w:spacing w:after="44" w:line="249" w:lineRule="auto"/>
        <w:jc w:val="both"/>
      </w:pPr>
      <w:r>
        <w:t xml:space="preserve">Dotace ze státního rozpočtu nelze poskytovat na benefiční a charitativní akce. </w:t>
      </w:r>
    </w:p>
    <w:p w:rsidR="0069745B" w:rsidRDefault="0069745B" w:rsidP="0069745B">
      <w:pPr>
        <w:pStyle w:val="Odstavecseseznamem"/>
        <w:jc w:val="both"/>
      </w:pPr>
    </w:p>
    <w:p w:rsidR="00794618" w:rsidRDefault="00794618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5" w:name="_Toc173163978"/>
    </w:p>
    <w:p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5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:rsidR="00F236ED" w:rsidRPr="00216A1A" w:rsidRDefault="00216A1A" w:rsidP="00F236ED">
            <w:pPr>
              <w:rPr>
                <w:b/>
                <w:i/>
              </w:rPr>
            </w:pPr>
            <w:r w:rsidRPr="00216A1A">
              <w:rPr>
                <w:b/>
              </w:rPr>
              <w:t>27.08.2025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:rsidR="00F236ED" w:rsidRPr="00282E88" w:rsidRDefault="009C2191" w:rsidP="00F236ED">
            <w:pPr>
              <w:rPr>
                <w:b/>
                <w:i/>
              </w:rPr>
            </w:pPr>
            <w:r>
              <w:rPr>
                <w:b/>
                <w:i/>
              </w:rPr>
              <w:t>29.08.2025</w:t>
            </w:r>
            <w:r w:rsidR="00F236ED" w:rsidRPr="00282E88">
              <w:rPr>
                <w:b/>
                <w:i/>
              </w:rPr>
              <w:t xml:space="preserve"> (</w:t>
            </w:r>
            <w:r w:rsidR="00282E88" w:rsidRPr="00282E88">
              <w:rPr>
                <w:b/>
                <w:i/>
              </w:rPr>
              <w:t>13:00</w:t>
            </w:r>
            <w:r w:rsidR="00F236ED" w:rsidRPr="00282E88">
              <w:rPr>
                <w:b/>
                <w:i/>
              </w:rPr>
              <w:t xml:space="preserve"> 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:rsidR="00F236ED" w:rsidRPr="00282E88" w:rsidRDefault="00282E88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30.9.2025</w:t>
            </w:r>
            <w:r w:rsidR="00F236ED" w:rsidRPr="00282E88">
              <w:rPr>
                <w:b/>
                <w:i/>
              </w:rPr>
              <w:t xml:space="preserve"> (</w:t>
            </w:r>
            <w:r w:rsidRPr="00282E88">
              <w:rPr>
                <w:b/>
                <w:i/>
              </w:rPr>
              <w:t>15:00</w:t>
            </w:r>
            <w:r w:rsidR="00F236ED" w:rsidRPr="00282E88">
              <w:rPr>
                <w:b/>
                <w:i/>
              </w:rPr>
              <w:t>hod</w:t>
            </w:r>
            <w:r w:rsidR="007655B2" w:rsidRPr="00282E88">
              <w:rPr>
                <w:b/>
                <w:i/>
              </w:rPr>
              <w:t>.</w:t>
            </w:r>
            <w:r w:rsidR="00F236ED" w:rsidRPr="00282E88">
              <w:rPr>
                <w:b/>
                <w:i/>
              </w:rPr>
              <w:t>)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:rsidR="00F236ED" w:rsidRPr="00282E88" w:rsidRDefault="00FC68B5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</w:t>
            </w:r>
            <w:r w:rsidR="009C2191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3.2026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30.06.2026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31.12.2026</w:t>
            </w:r>
          </w:p>
        </w:tc>
      </w:tr>
      <w:tr w:rsidR="00F236ED" w:rsidTr="00824A08">
        <w:trPr>
          <w:trHeight w:val="284"/>
        </w:trPr>
        <w:tc>
          <w:tcPr>
            <w:tcW w:w="6658" w:type="dxa"/>
          </w:tcPr>
          <w:p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:rsidR="00F236ED" w:rsidRPr="00282E88" w:rsidRDefault="006F4557" w:rsidP="00F236ED">
            <w:pPr>
              <w:rPr>
                <w:b/>
                <w:i/>
              </w:rPr>
            </w:pPr>
            <w:r w:rsidRPr="00282E88">
              <w:rPr>
                <w:b/>
                <w:i/>
              </w:rPr>
              <w:t>22.</w:t>
            </w:r>
            <w:r w:rsidR="009C2191">
              <w:rPr>
                <w:b/>
                <w:i/>
              </w:rPr>
              <w:t>0</w:t>
            </w:r>
            <w:r w:rsidRPr="00282E88">
              <w:rPr>
                <w:b/>
                <w:i/>
              </w:rPr>
              <w:t>1.2027</w:t>
            </w:r>
          </w:p>
        </w:tc>
      </w:tr>
    </w:tbl>
    <w:p w:rsidR="00F236ED" w:rsidRDefault="00F236ED" w:rsidP="00F236ED"/>
    <w:p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3163979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6"/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jiném, než uvedeném termínu pro podání nebudou přijaty k dalšímu zpracování.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:rsidR="009B78CA" w:rsidRDefault="009B78CA" w:rsidP="0059743D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lastRenderedPageBreak/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9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 xml:space="preserve">, která se váže ke konkrétní fyzické osobě. Prvotní oprávněný uživatel následně zaregistruje žadatele </w:t>
      </w:r>
      <w:r w:rsidRPr="00282E88">
        <w:t>(právnickou osobu</w:t>
      </w:r>
      <w:r w:rsidR="00BD4092" w:rsidRPr="00282E88">
        <w:t>, fyzickou osobu, nebo podnikající fyzickou osobu</w:t>
      </w:r>
      <w:r w:rsidRPr="00282E88">
        <w:t>),</w:t>
      </w:r>
      <w:r>
        <w:t xml:space="preserve"> tzn. zadá základní údaje o žadateli do DPMK. Každý subjekt může být v DPMK registrován pouze jednou, žádost pak může podat ve všech výzvách DPMK, v nichž je oprávněným žadatelem.</w:t>
      </w:r>
    </w:p>
    <w:p w:rsidR="004A0CDF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:rsidR="002F22C9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:rsidR="00F236ED" w:rsidRDefault="004A0CDF" w:rsidP="0059743D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:rsidR="00097250" w:rsidRPr="0069147A" w:rsidRDefault="00097250" w:rsidP="0059743D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 xml:space="preserve">je žadatel povinen provést snímek obrazovky, ze kterého bude patrná technická závada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:rsidR="00794618" w:rsidRDefault="00794618" w:rsidP="002E6442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7" w:name="_Toc173163980"/>
    </w:p>
    <w:p w:rsidR="002E6442" w:rsidRPr="004A0CDF" w:rsidRDefault="002E6442" w:rsidP="002E6442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7"/>
    </w:p>
    <w:p w:rsidR="002E6442" w:rsidRDefault="002E6442" w:rsidP="002E6442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7.1. Žádost</w:t>
      </w:r>
      <w:r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:rsidR="002E6442" w:rsidRDefault="002E6442" w:rsidP="002E6442">
      <w:pPr>
        <w:pStyle w:val="Odstavecseseznamem"/>
        <w:numPr>
          <w:ilvl w:val="0"/>
          <w:numId w:val="5"/>
        </w:numPr>
      </w:pPr>
      <w:bookmarkStart w:id="8" w:name="_Hlk202948429"/>
      <w:r>
        <w:t>Žádost včetně základních údajů o žadateli, vlastnické struktuře žadatele, údajích o projektu, rozpočtu, zdrojů financování a čestného prohlášení vyplněná ve formuláři DPMK.</w:t>
      </w:r>
    </w:p>
    <w:p w:rsidR="002E6442" w:rsidRPr="00215343" w:rsidRDefault="002E6442" w:rsidP="002E6442">
      <w:pPr>
        <w:pStyle w:val="Odstavecseseznamem"/>
        <w:numPr>
          <w:ilvl w:val="0"/>
          <w:numId w:val="5"/>
        </w:numPr>
      </w:pPr>
      <w:r w:rsidRPr="00956886">
        <w:rPr>
          <w:rFonts w:cstheme="minorHAnsi"/>
        </w:rPr>
        <w:t xml:space="preserve">Údaje o projektu: </w:t>
      </w:r>
    </w:p>
    <w:p w:rsidR="002E6442" w:rsidRDefault="002E6442" w:rsidP="002E6442">
      <w:pPr>
        <w:pStyle w:val="Odstavecseseznamem"/>
        <w:numPr>
          <w:ilvl w:val="0"/>
          <w:numId w:val="25"/>
        </w:numPr>
      </w:pPr>
      <w:r>
        <w:t xml:space="preserve">1.1 </w:t>
      </w:r>
      <w:r w:rsidRPr="00E7151F">
        <w:t>Anotace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>1.2 Charakteristika žadatele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2.1 </w:t>
      </w:r>
      <w:r w:rsidRPr="00E7151F">
        <w:t>Obsah a cíl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2.2 </w:t>
      </w:r>
      <w:r w:rsidRPr="00E7151F">
        <w:t>Soulad projektu s vyhlášenou výzvou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2.3 </w:t>
      </w:r>
      <w:r w:rsidRPr="00E7151F">
        <w:t>Popis reálné připravenosti projektu – zajištění místo realizace, realizátorů, partnerů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2.4 </w:t>
      </w:r>
      <w:r w:rsidRPr="00E7151F">
        <w:t>Způsob realizace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2.5 </w:t>
      </w:r>
      <w:r w:rsidRPr="00E7151F">
        <w:t>Popis cílových skupin projektu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>
        <w:t xml:space="preserve">2.6 </w:t>
      </w:r>
      <w:r w:rsidRPr="00E7151F">
        <w:t>Popis konkrétních výstupů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3.1 Popis uměleckých kvalit, dramaturgie projektu, přínos projektu pro cílovou skupinu, umělecký obor a společnost 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lastRenderedPageBreak/>
        <w:t>3.2 Popis</w:t>
      </w:r>
      <w:r>
        <w:t>,</w:t>
      </w:r>
      <w:r w:rsidRPr="00215343">
        <w:t xml:space="preserve"> v čem spočívá jedinečnost projektu a jak projekt zvyšuje kvalitu kulturní nabídky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 w:rsidRPr="00215343">
        <w:t>4</w:t>
      </w:r>
      <w:r w:rsidRPr="00E7151F">
        <w:t>.1 Komentář k rozpočtu, odůvodnění nákladů, nezbytnosti položek v rozpočtu a přiměřenosti a hospodárnosti rozpočtu</w:t>
      </w:r>
    </w:p>
    <w:p w:rsidR="002E6442" w:rsidRPr="00E7151F" w:rsidRDefault="002E6442" w:rsidP="002E6442">
      <w:pPr>
        <w:pStyle w:val="Odstavecseseznamem"/>
        <w:numPr>
          <w:ilvl w:val="0"/>
          <w:numId w:val="25"/>
        </w:numPr>
      </w:pPr>
      <w:r w:rsidRPr="00E7151F">
        <w:t>4.2 Komentář k dalším finančním zdrojům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4.3 Popis finanční udržitelnosti projektu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5.1 Stručné shrnutí předchozích aktivit žadatele v dané oblasti</w:t>
      </w:r>
    </w:p>
    <w:p w:rsidR="002E6442" w:rsidRPr="008F30E0" w:rsidRDefault="002E6442" w:rsidP="002E6442">
      <w:pPr>
        <w:pStyle w:val="Odstavecseseznamem"/>
        <w:numPr>
          <w:ilvl w:val="0"/>
          <w:numId w:val="25"/>
        </w:numPr>
      </w:pPr>
      <w:r w:rsidRPr="008F30E0">
        <w:t>5.2 Celkový časový harmonogram projektu deklarující efektivní manažerský plán, komunikační strategii, produkční přípravu a případně veřejné produkce</w:t>
      </w:r>
    </w:p>
    <w:p w:rsidR="002E6442" w:rsidRPr="008F30E0" w:rsidRDefault="002E6442" w:rsidP="002E6442">
      <w:pPr>
        <w:pStyle w:val="Odstavecseseznamem"/>
        <w:numPr>
          <w:ilvl w:val="0"/>
          <w:numId w:val="25"/>
        </w:numPr>
      </w:pPr>
      <w:r w:rsidRPr="008F30E0">
        <w:t xml:space="preserve">5.3 Popis společenského ohlasu projektu (pokud má projekt historii) nebo dosavadní činnosti Žadatele 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6.1 Popis odborné kvality tvůrčího týmu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1</w:t>
      </w:r>
      <w:r w:rsidRPr="00215343">
        <w:t xml:space="preserve"> Kontaktní údaje osoby zodpovědné za projekt/realizátora projektu (tel. Email)</w:t>
      </w:r>
    </w:p>
    <w:p w:rsidR="002E6442" w:rsidRPr="00215343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2</w:t>
      </w:r>
      <w:r w:rsidRPr="00215343">
        <w:t xml:space="preserve"> Termín konání akce </w:t>
      </w:r>
      <w:r w:rsidR="00B70E92">
        <w:t>(od-do)</w:t>
      </w:r>
    </w:p>
    <w:p w:rsidR="002E6442" w:rsidRDefault="002E6442" w:rsidP="002E6442">
      <w:pPr>
        <w:pStyle w:val="Odstavecseseznamem"/>
        <w:numPr>
          <w:ilvl w:val="0"/>
          <w:numId w:val="25"/>
        </w:numPr>
      </w:pPr>
      <w:r w:rsidRPr="00215343">
        <w:t>7.</w:t>
      </w:r>
      <w:r>
        <w:t>3</w:t>
      </w:r>
      <w:r w:rsidRPr="00215343">
        <w:t xml:space="preserve"> Okres</w:t>
      </w:r>
    </w:p>
    <w:p w:rsidR="002E6442" w:rsidRPr="00215343" w:rsidRDefault="002E6442" w:rsidP="002E6442">
      <w:pPr>
        <w:pStyle w:val="Odstavecseseznamem"/>
        <w:ind w:left="1068"/>
      </w:pPr>
    </w:p>
    <w:p w:rsidR="002E6442" w:rsidRPr="0059743D" w:rsidRDefault="002E6442" w:rsidP="002E6442">
      <w:pPr>
        <w:pStyle w:val="Odstavecseseznamem"/>
        <w:numPr>
          <w:ilvl w:val="0"/>
          <w:numId w:val="5"/>
        </w:numPr>
      </w:pPr>
      <w:r w:rsidRPr="0059743D">
        <w:t>Indikátory (v případě využití indikátorů vyberte v DPMK nastavené indikátory dle specifika výzvy)</w:t>
      </w:r>
    </w:p>
    <w:p w:rsidR="00B70E92" w:rsidRPr="00282004" w:rsidRDefault="002E6442" w:rsidP="00B70E92">
      <w:pPr>
        <w:numPr>
          <w:ilvl w:val="1"/>
          <w:numId w:val="33"/>
        </w:numPr>
        <w:spacing w:after="44" w:line="249" w:lineRule="auto"/>
        <w:ind w:hanging="360"/>
        <w:jc w:val="both"/>
      </w:pPr>
      <w:r w:rsidRPr="002325FB">
        <w:rPr>
          <w:rFonts w:ascii="Calibri" w:eastAsia="Times New Roman" w:hAnsi="Calibri" w:cs="Calibri"/>
          <w:lang w:eastAsia="cs-CZ"/>
        </w:rPr>
        <w:t>NV-A-01- Počet akcí</w:t>
      </w:r>
      <w:r w:rsidR="00B70E92">
        <w:rPr>
          <w:rFonts w:ascii="Calibri" w:eastAsia="Times New Roman" w:hAnsi="Calibri" w:cs="Calibri"/>
          <w:lang w:eastAsia="cs-CZ"/>
        </w:rPr>
        <w:t xml:space="preserve"> </w:t>
      </w:r>
      <w:r w:rsidR="00B70E92" w:rsidRPr="00282004">
        <w:t>(počtem akcí se rozumí jasně definované výstupy projektu v číslech (např. vydání sborníku (včetně názvu), festival, počet a náz</w:t>
      </w:r>
      <w:r w:rsidR="00B70E92">
        <w:t>vy</w:t>
      </w:r>
      <w:r w:rsidR="00B70E92" w:rsidRPr="00282004">
        <w:t xml:space="preserve"> vydaných titulů zvukových knih, počet a náz</w:t>
      </w:r>
      <w:r w:rsidR="00B70E92">
        <w:t>vy</w:t>
      </w:r>
      <w:r w:rsidR="00B70E92" w:rsidRPr="00282004">
        <w:t xml:space="preserve"> titulkovaných filmů, počet a náz</w:t>
      </w:r>
      <w:r w:rsidR="00B70E92">
        <w:t>vy</w:t>
      </w:r>
      <w:r w:rsidR="00B70E92" w:rsidRPr="00282004">
        <w:t xml:space="preserve"> výstav, počet seminářů, </w:t>
      </w:r>
      <w:r w:rsidR="00B70E92">
        <w:t xml:space="preserve">počet a názvy odehraných představení </w:t>
      </w:r>
      <w:r w:rsidR="00B70E92" w:rsidRPr="00282004">
        <w:t>apod.)</w:t>
      </w:r>
    </w:p>
    <w:p w:rsidR="002E6442" w:rsidRDefault="002E6442" w:rsidP="002E6442">
      <w:pPr>
        <w:pStyle w:val="Odstavecseseznamem"/>
        <w:rPr>
          <w:rFonts w:ascii="Calibri" w:eastAsia="Times New Roman" w:hAnsi="Calibri" w:cs="Calibri"/>
          <w:lang w:eastAsia="cs-CZ"/>
        </w:rPr>
      </w:pPr>
    </w:p>
    <w:p w:rsidR="00B70E92" w:rsidRPr="00282004" w:rsidRDefault="002E6442" w:rsidP="00B70E92">
      <w:pPr>
        <w:numPr>
          <w:ilvl w:val="1"/>
          <w:numId w:val="33"/>
        </w:numPr>
        <w:spacing w:after="44" w:line="249" w:lineRule="auto"/>
        <w:ind w:hanging="360"/>
        <w:jc w:val="both"/>
      </w:pPr>
      <w:r>
        <w:rPr>
          <w:rFonts w:ascii="Calibri" w:eastAsia="Times New Roman" w:hAnsi="Calibri" w:cs="Calibri"/>
          <w:lang w:eastAsia="cs-CZ"/>
        </w:rPr>
        <w:t>NV-</w:t>
      </w:r>
      <w:r w:rsidR="00B70E92">
        <w:rPr>
          <w:rFonts w:ascii="Calibri" w:eastAsia="Times New Roman" w:hAnsi="Calibri" w:cs="Calibri"/>
          <w:lang w:eastAsia="cs-CZ"/>
        </w:rPr>
        <w:t>A</w:t>
      </w:r>
      <w:r>
        <w:rPr>
          <w:rFonts w:ascii="Calibri" w:eastAsia="Times New Roman" w:hAnsi="Calibri" w:cs="Calibri"/>
          <w:lang w:eastAsia="cs-CZ"/>
        </w:rPr>
        <w:t>-0</w:t>
      </w:r>
      <w:r w:rsidR="00B70E92">
        <w:rPr>
          <w:rFonts w:ascii="Calibri" w:eastAsia="Times New Roman" w:hAnsi="Calibri" w:cs="Calibri"/>
          <w:lang w:eastAsia="cs-CZ"/>
        </w:rPr>
        <w:t>2</w:t>
      </w:r>
      <w:r>
        <w:rPr>
          <w:rFonts w:ascii="Calibri" w:eastAsia="Times New Roman" w:hAnsi="Calibri" w:cs="Calibri"/>
          <w:lang w:eastAsia="cs-CZ"/>
        </w:rPr>
        <w:t xml:space="preserve"> – </w:t>
      </w:r>
      <w:bookmarkStart w:id="9" w:name="_Hlk201900717"/>
      <w:r w:rsidR="00B70E92" w:rsidRPr="00282004">
        <w:t>Počet podpořených osob (sledován pouze počet osob se zdravotním postižením či jiným znevýhodněním; nevyplňuje se u projektů zaměřených na publikační činnost, titulkování filmů, tlumočení divadelních představení a podobných projektů, u kterých počet příjemců kulturní služby se ZP či jiným znevýhodněním nelze dostatečně prokázat).</w:t>
      </w:r>
    </w:p>
    <w:p w:rsidR="00346965" w:rsidRDefault="00346965" w:rsidP="00346965">
      <w:pPr>
        <w:rPr>
          <w:b/>
          <w:bCs/>
          <w:color w:val="FF0000"/>
        </w:rPr>
      </w:pPr>
    </w:p>
    <w:p w:rsidR="00346965" w:rsidRPr="00346965" w:rsidRDefault="00346965" w:rsidP="00346965">
      <w:pPr>
        <w:rPr>
          <w:b/>
          <w:bCs/>
        </w:rPr>
      </w:pPr>
      <w:r w:rsidRPr="00346965">
        <w:rPr>
          <w:b/>
          <w:bCs/>
        </w:rPr>
        <w:t>Dotace může být poskytnuta pouze na projekty, které podpoří minimálně 5 osob z cílové skupiny.</w:t>
      </w:r>
    </w:p>
    <w:p w:rsidR="00B70E92" w:rsidRDefault="00B70E92" w:rsidP="00B70E92">
      <w:pPr>
        <w:pStyle w:val="Odstavecseseznamem"/>
      </w:pPr>
    </w:p>
    <w:p w:rsidR="002E6442" w:rsidRPr="00E55CAC" w:rsidRDefault="002E6442" w:rsidP="00B70E92">
      <w:pPr>
        <w:pStyle w:val="Odstavecseseznamem"/>
        <w:ind w:left="0"/>
      </w:pPr>
      <w:r w:rsidRPr="00E55CAC">
        <w:t xml:space="preserve">Číselná hodnota indikátorů se závazně propíše do rozhodnutí o poskytnutí dotace — bude proto </w:t>
      </w:r>
      <w:r>
        <w:t xml:space="preserve">  nutné ji </w:t>
      </w:r>
      <w:r w:rsidRPr="00E55CAC">
        <w:t>v rámci realizace projektu napln</w:t>
      </w:r>
      <w:r>
        <w:t>it</w:t>
      </w:r>
      <w:r w:rsidRPr="00E55CAC">
        <w:t xml:space="preserve">. </w:t>
      </w:r>
      <w:r w:rsidRPr="00E55CAC">
        <w:rPr>
          <w:b/>
          <w:u w:val="single"/>
        </w:rPr>
        <w:t>Věnujte jejímu vyplnění zvýšenou pozornost.</w:t>
      </w:r>
      <w:r w:rsidRPr="00E55CAC">
        <w:t xml:space="preserve"> </w:t>
      </w:r>
    </w:p>
    <w:p w:rsidR="002E6442" w:rsidRPr="00E55CAC" w:rsidRDefault="002E6442" w:rsidP="002E6442">
      <w:pPr>
        <w:spacing w:after="0"/>
      </w:pPr>
    </w:p>
    <w:bookmarkEnd w:id="8"/>
    <w:bookmarkEnd w:id="9"/>
    <w:p w:rsidR="002E6442" w:rsidRPr="0059743D" w:rsidRDefault="002E6442" w:rsidP="002E6442">
      <w:pPr>
        <w:ind w:left="360"/>
      </w:pPr>
      <w:r w:rsidRPr="0059743D">
        <w:t>d) Personální zajištění projektu</w:t>
      </w:r>
    </w:p>
    <w:p w:rsidR="002E6442" w:rsidRPr="0059743D" w:rsidRDefault="002E6442" w:rsidP="002E6442">
      <w:pPr>
        <w:ind w:left="360"/>
      </w:pPr>
      <w:r w:rsidRPr="0059743D">
        <w:t>e) Spolupracující organizace</w:t>
      </w:r>
    </w:p>
    <w:p w:rsidR="002E6442" w:rsidRPr="0059743D" w:rsidRDefault="002E6442" w:rsidP="002E6442">
      <w:pPr>
        <w:ind w:left="360"/>
      </w:pPr>
      <w:r w:rsidRPr="0059743D">
        <w:t>f) Dříve realizované projekty</w:t>
      </w:r>
    </w:p>
    <w:p w:rsidR="002E6442" w:rsidRPr="0059743D" w:rsidRDefault="002E6442" w:rsidP="002E6442">
      <w:pPr>
        <w:ind w:left="360"/>
      </w:pPr>
      <w:r w:rsidRPr="0059743D">
        <w:t>g) Předchozí dotace a další zdroje příjmů</w:t>
      </w:r>
    </w:p>
    <w:p w:rsidR="002E6442" w:rsidRPr="0059743D" w:rsidRDefault="002E6442" w:rsidP="002E6442">
      <w:pPr>
        <w:ind w:left="360"/>
      </w:pPr>
      <w:r w:rsidRPr="0059743D">
        <w:t>h) Rozpočet projektu</w:t>
      </w:r>
    </w:p>
    <w:p w:rsidR="002E6442" w:rsidRDefault="002E6442" w:rsidP="002E6442">
      <w:pPr>
        <w:ind w:left="360"/>
      </w:pPr>
      <w:r w:rsidRPr="0059743D">
        <w:t>i) Zdroje financování</w:t>
      </w:r>
    </w:p>
    <w:p w:rsidR="002E6442" w:rsidRDefault="002E6442" w:rsidP="002E6442"/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7.2. Povinné přílohy</w:t>
      </w: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Po</w:t>
      </w:r>
      <w:r w:rsidR="0059743D">
        <w:t>ložkový rozpočet s</w:t>
      </w:r>
      <w:r w:rsidR="00346965">
        <w:t> </w:t>
      </w:r>
      <w:r w:rsidR="0059743D">
        <w:t>komentářem</w:t>
      </w:r>
      <w:bookmarkStart w:id="10" w:name="_Hlk204584153"/>
    </w:p>
    <w:p w:rsidR="00346965" w:rsidRDefault="00346965" w:rsidP="00346965">
      <w:pPr>
        <w:jc w:val="both"/>
      </w:pPr>
      <w:r>
        <w:t>stáhněte si vzor připravený v portálu</w:t>
      </w:r>
    </w:p>
    <w:bookmarkEnd w:id="10"/>
    <w:p w:rsidR="00346965" w:rsidRDefault="00346965" w:rsidP="00346965">
      <w:pPr>
        <w:pStyle w:val="Odstavecseseznamem"/>
        <w:numPr>
          <w:ilvl w:val="0"/>
          <w:numId w:val="21"/>
        </w:numPr>
        <w:jc w:val="both"/>
      </w:pPr>
      <w:r>
        <w:t>stáhněte si vzor připravený v portálu</w:t>
      </w:r>
    </w:p>
    <w:p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>ve formátu .</w:t>
      </w:r>
      <w:proofErr w:type="spellStart"/>
      <w:r>
        <w:t>xlsx</w:t>
      </w:r>
      <w:proofErr w:type="spellEnd"/>
    </w:p>
    <w:p w:rsidR="002F22C9" w:rsidRDefault="002F22C9" w:rsidP="0059743D">
      <w:pPr>
        <w:pStyle w:val="Odstavecseseznamem"/>
        <w:numPr>
          <w:ilvl w:val="0"/>
          <w:numId w:val="21"/>
        </w:numPr>
        <w:jc w:val="both"/>
      </w:pPr>
      <w:r>
        <w:t xml:space="preserve">Položky rozpočtu je nutné v komentáři odůvodnit a podrobně popsat. Personální náklady musí být specifikovány na základě obsahu (náplně práce s vazbou na výstupy projektu) </w:t>
      </w:r>
      <w:r w:rsidR="000D33A5">
        <w:br/>
      </w:r>
      <w:r>
        <w:t>a rozsahu.</w:t>
      </w:r>
    </w:p>
    <w:p w:rsidR="00346965" w:rsidRDefault="0059743D" w:rsidP="00346965">
      <w:pPr>
        <w:pStyle w:val="Odstavecseseznamem"/>
        <w:numPr>
          <w:ilvl w:val="0"/>
          <w:numId w:val="6"/>
        </w:numPr>
        <w:jc w:val="both"/>
      </w:pPr>
      <w:bookmarkStart w:id="11" w:name="_Hlk204584193"/>
      <w:r>
        <w:t>Podrobný strukturovaný popis projektu</w:t>
      </w:r>
    </w:p>
    <w:p w:rsidR="00346965" w:rsidRDefault="00346965" w:rsidP="00346965">
      <w:pPr>
        <w:pStyle w:val="Odstavecseseznamem"/>
        <w:numPr>
          <w:ilvl w:val="0"/>
          <w:numId w:val="27"/>
        </w:numPr>
        <w:ind w:left="1134"/>
        <w:jc w:val="both"/>
      </w:pPr>
      <w:r w:rsidRPr="00346965">
        <w:t>stáhněte si vzor připravený v portálu</w:t>
      </w:r>
    </w:p>
    <w:p w:rsidR="00346965" w:rsidRDefault="00346965" w:rsidP="00346965">
      <w:pPr>
        <w:pStyle w:val="Odstavecseseznamem"/>
        <w:numPr>
          <w:ilvl w:val="0"/>
          <w:numId w:val="27"/>
        </w:numPr>
        <w:ind w:left="1134"/>
        <w:jc w:val="both"/>
      </w:pPr>
      <w:r>
        <w:t>ve formátu .</w:t>
      </w:r>
      <w:proofErr w:type="spellStart"/>
      <w:r>
        <w:t>docx</w:t>
      </w:r>
      <w:proofErr w:type="spellEnd"/>
    </w:p>
    <w:bookmarkEnd w:id="11"/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V případě příspěvkových organizací (</w:t>
      </w:r>
      <w:r w:rsidR="00C146DE">
        <w:t>zřizovaných ministerstvem/krajem/obcí) doloží tato organizace jako žadatel pouze údaje o svém bankovním účtu.</w:t>
      </w: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(v el. evidenci skutečných majitelů se jedná o možnost Přihlásit (vpravo nahoře), nikoli „Vytisknout“ nebo „Stáhnout PDF verzi výpisu“. Po přihlášení datovou schránkou pak lze stáhnout úplný výpis.“).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Musí se jednat o úplný výpis, nikoli pouze výpis platných.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:rsidR="002F22C9" w:rsidRDefault="002F22C9" w:rsidP="0059743D">
      <w:pPr>
        <w:pStyle w:val="Odstavecseseznamem"/>
        <w:numPr>
          <w:ilvl w:val="0"/>
          <w:numId w:val="20"/>
        </w:numPr>
        <w:jc w:val="both"/>
      </w:pPr>
      <w:r>
        <w:t>Návod na získání úplného výpisu z ESM je dostupný na webové stránce výzvy.</w:t>
      </w:r>
    </w:p>
    <w:p w:rsidR="00216A1A" w:rsidRDefault="00216A1A" w:rsidP="00216A1A">
      <w:pPr>
        <w:pStyle w:val="Odstavecseseznamem"/>
        <w:ind w:left="1080"/>
        <w:jc w:val="both"/>
      </w:pPr>
    </w:p>
    <w:p w:rsidR="009E259B" w:rsidRDefault="009E259B" w:rsidP="0059743D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:rsidR="002F22C9" w:rsidRDefault="002F22C9" w:rsidP="0059743D">
      <w:pPr>
        <w:pStyle w:val="Odstavecseseznamem"/>
        <w:numPr>
          <w:ilvl w:val="0"/>
          <w:numId w:val="22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:rsidR="00216A1A" w:rsidRDefault="00216A1A" w:rsidP="00216A1A">
      <w:pPr>
        <w:pStyle w:val="Odstavecseseznamem"/>
      </w:pPr>
    </w:p>
    <w:p w:rsidR="0055272F" w:rsidRDefault="0059743D" w:rsidP="001150E6">
      <w:pPr>
        <w:pStyle w:val="Odstavecseseznamem"/>
        <w:numPr>
          <w:ilvl w:val="0"/>
          <w:numId w:val="6"/>
        </w:numPr>
      </w:pPr>
      <w:bookmarkStart w:id="12" w:name="_Hlk204595667"/>
      <w:r w:rsidRPr="0059743D">
        <w:t>Doklad o právní osobnosti žadatele</w:t>
      </w:r>
    </w:p>
    <w:p w:rsidR="0055272F" w:rsidRDefault="0055272F" w:rsidP="00CF183A">
      <w:pPr>
        <w:pStyle w:val="Odstavecseseznamem"/>
        <w:numPr>
          <w:ilvl w:val="0"/>
          <w:numId w:val="37"/>
        </w:numPr>
        <w:ind w:left="1134" w:hanging="425"/>
        <w:jc w:val="both"/>
      </w:pPr>
      <w:r>
        <w:t>kopie dokladu o právní osobnosti žadatele, je-li právnickou osobou (např. výpis z obchodního rejstříku, rejstříku obecně prospěšných společností, spolkového rejstříku či jiného rejstříku, ne starší 3 měsíců); zřizovací listina včetně případných změn) - ve formátu *.</w:t>
      </w:r>
      <w:proofErr w:type="spellStart"/>
      <w:r>
        <w:t>pdf</w:t>
      </w:r>
      <w:proofErr w:type="spellEnd"/>
      <w:r>
        <w:t xml:space="preserve">; </w:t>
      </w:r>
    </w:p>
    <w:p w:rsidR="002F22C9" w:rsidRPr="0059743D" w:rsidRDefault="0055272F" w:rsidP="00CF183A">
      <w:pPr>
        <w:pStyle w:val="Odstavecseseznamem"/>
        <w:numPr>
          <w:ilvl w:val="0"/>
          <w:numId w:val="37"/>
        </w:numPr>
        <w:ind w:left="1134" w:hanging="425"/>
        <w:jc w:val="both"/>
      </w:pPr>
      <w:r>
        <w:t xml:space="preserve">fyzické osoby doloží kopii dokladu o oprávnění k podnikání, odpovídající předkládanému projektu, výpis z rejstříku trestů ne starší tří </w:t>
      </w:r>
      <w:proofErr w:type="gramStart"/>
      <w:r>
        <w:t>měsíců - ve</w:t>
      </w:r>
      <w:proofErr w:type="gramEnd"/>
      <w:r>
        <w:t xml:space="preserve"> formátu *.</w:t>
      </w:r>
      <w:proofErr w:type="spellStart"/>
      <w:r>
        <w:t>pdf</w:t>
      </w:r>
      <w:proofErr w:type="spellEnd"/>
    </w:p>
    <w:bookmarkEnd w:id="12"/>
    <w:p w:rsidR="0059743D" w:rsidRDefault="0059743D" w:rsidP="00216A1A">
      <w:pPr>
        <w:numPr>
          <w:ilvl w:val="0"/>
          <w:numId w:val="6"/>
        </w:numPr>
        <w:spacing w:after="44" w:line="249" w:lineRule="auto"/>
        <w:jc w:val="both"/>
      </w:pPr>
      <w:r>
        <w:t>Doklad o předchozí činnosti</w:t>
      </w:r>
      <w:r w:rsidR="00216A1A">
        <w:t xml:space="preserve"> </w:t>
      </w:r>
      <w:r w:rsidR="00216A1A" w:rsidRPr="00AB2535">
        <w:t xml:space="preserve">(podává pouze žadatel, který žádá o dotaci v tomto dotačním titulu poprvé) </w:t>
      </w:r>
    </w:p>
    <w:p w:rsidR="009E259B" w:rsidRPr="009E259B" w:rsidRDefault="009E259B" w:rsidP="0000382E">
      <w:pPr>
        <w:pStyle w:val="Odstavecseseznamem"/>
      </w:pPr>
    </w:p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7.3. Čestné prohlášení</w:t>
      </w:r>
    </w:p>
    <w:p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 </w:t>
      </w:r>
      <w:r w:rsidR="00B70E92" w:rsidRPr="00B70E92">
        <w:rPr>
          <w:rFonts w:cstheme="minorHAnsi"/>
          <w:b/>
          <w:iCs/>
          <w:color w:val="000000"/>
          <w:shd w:val="clear" w:color="auto" w:fill="FFFFFF"/>
        </w:rPr>
        <w:t>2</w:t>
      </w:r>
      <w:r w:rsidR="009E259B" w:rsidRPr="00D52069">
        <w:rPr>
          <w:rFonts w:cstheme="minorHAnsi"/>
          <w:b/>
          <w:iCs/>
          <w:color w:val="000000"/>
          <w:shd w:val="clear" w:color="auto" w:fill="FFFFFF"/>
        </w:rPr>
        <w:t xml:space="preserve"> žádost</w:t>
      </w:r>
      <w:r w:rsidR="00D52069">
        <w:rPr>
          <w:rFonts w:cstheme="minorHAnsi"/>
          <w:b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:rsidR="002B32E4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:rsidR="002F22C9" w:rsidRPr="00F522DC" w:rsidRDefault="002B32E4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:rsidR="002F22C9" w:rsidRPr="00F522DC" w:rsidRDefault="002F22C9" w:rsidP="0059743D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 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:rsidR="000C418A" w:rsidRDefault="000C418A" w:rsidP="000C418A">
      <w:pPr>
        <w:pStyle w:val="Odstavecseseznamem"/>
        <w:numPr>
          <w:ilvl w:val="0"/>
          <w:numId w:val="23"/>
        </w:numPr>
      </w:pPr>
      <w:r>
        <w:t>Zpracování osobních údajů o subjektu údajů (žadateli) pro účely plnění svých právních povinností souvisejících s hodnocením žádostí o poskytnutí dotace a s rozhodnutím o žádosti (zejména zveřejnění ve veřejně přístupném informačním systému Ministerstva financí – Registr dotací (</w:t>
      </w:r>
      <w:hyperlink r:id="rId10" w:history="1">
        <w:r>
          <w:rPr>
            <w:rStyle w:val="Hypertextovodkaz"/>
          </w:rPr>
          <w:t>red.fs.gov.cz</w:t>
        </w:r>
      </w:hyperlink>
      <w:r>
        <w:t>)) uvedených v této žádosti, provede Ministerstvo kultury se sídlem v Praze 1, Maltézské náměstí 471/1, IČ 00023671, coby správce osobních údajů dle čl. 6 odst.1 písm. c)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 110/2019 Sb., o zpracování osobních údajů a o změně některých zákonů, ve znění pozdějších předpisů, a to v době pro toto zpracování nezbytně nutné, s čímž žadatel vyjadřuje souhlas.</w:t>
      </w:r>
    </w:p>
    <w:p w:rsidR="0000382E" w:rsidRPr="00A55A4A" w:rsidRDefault="00A55A4A" w:rsidP="00A55A4A">
      <w:pPr>
        <w:pStyle w:val="Odstavecseseznamem"/>
        <w:numPr>
          <w:ilvl w:val="0"/>
          <w:numId w:val="23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stvrzuje, že byl zajištěn souhlas se zpracováním osobních údajů na úrovni konkrétních osob, jejichž osobní údaje jsou uvedeny v projektu.</w:t>
      </w: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3" w:name="_Toc173163981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3"/>
    </w:p>
    <w:p w:rsidR="009E259B" w:rsidRPr="0000382E" w:rsidRDefault="009E259B" w:rsidP="0059743D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</w:t>
      </w:r>
      <w:r w:rsidR="002B2CC7" w:rsidRPr="00845073">
        <w:rPr>
          <w:b/>
        </w:rPr>
        <w:t xml:space="preserve">do </w:t>
      </w:r>
      <w:r w:rsidR="00625AA5" w:rsidRPr="00845073">
        <w:rPr>
          <w:b/>
        </w:rPr>
        <w:t>31.12.202</w:t>
      </w:r>
      <w:r w:rsidR="00845073" w:rsidRPr="00845073">
        <w:rPr>
          <w:b/>
        </w:rPr>
        <w:t>6</w:t>
      </w:r>
    </w:p>
    <w:p w:rsidR="002B2CC7" w:rsidRPr="00845073" w:rsidRDefault="002B2CC7" w:rsidP="0059743D">
      <w:pPr>
        <w:pStyle w:val="Odstavecseseznamem"/>
        <w:numPr>
          <w:ilvl w:val="0"/>
          <w:numId w:val="7"/>
        </w:numPr>
        <w:jc w:val="both"/>
      </w:pPr>
      <w:r w:rsidRPr="00845073">
        <w:t>Podpořené projekty musí být realizovány na území České republiky.</w:t>
      </w:r>
      <w:r w:rsidR="00625AA5" w:rsidRPr="00845073">
        <w:t xml:space="preserve"> </w:t>
      </w:r>
    </w:p>
    <w:p w:rsidR="0000382E" w:rsidRPr="009E259B" w:rsidRDefault="0000382E" w:rsidP="0000382E">
      <w:pPr>
        <w:pStyle w:val="Odstavecseseznamem"/>
        <w:jc w:val="both"/>
      </w:pPr>
    </w:p>
    <w:p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3163982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bookmarkEnd w:id="14"/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 xml:space="preserve">z časového hlediska náklad, který vznikl příjemci podpory a byl uhrazen příjemcem podpory </w:t>
      </w:r>
      <w:r w:rsidRPr="00845073">
        <w:rPr>
          <w:b/>
        </w:rPr>
        <w:t xml:space="preserve">v období </w:t>
      </w:r>
      <w:r w:rsidR="00625AA5" w:rsidRPr="00845073">
        <w:rPr>
          <w:b/>
        </w:rPr>
        <w:t>1.1.2026</w:t>
      </w:r>
      <w:r w:rsidRPr="00845073">
        <w:rPr>
          <w:b/>
        </w:rPr>
        <w:t xml:space="preserve"> do </w:t>
      </w:r>
      <w:r w:rsidR="00625AA5" w:rsidRPr="00845073">
        <w:rPr>
          <w:b/>
        </w:rPr>
        <w:t>31.12.2026</w:t>
      </w:r>
      <w:r w:rsidR="00F00CC1">
        <w:t>, na které byla dotace poskytnuta, a výdajů, které s tímto obdobím souvisejí.</w:t>
      </w:r>
    </w:p>
    <w:p w:rsidR="00B41165" w:rsidRDefault="00B41165" w:rsidP="0059743D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625AA5">
        <w:t>31.1.2027</w:t>
      </w:r>
      <w:r>
        <w:t xml:space="preserve">, stejně jako související zákonné odvody. </w:t>
      </w:r>
    </w:p>
    <w:p w:rsidR="00B41165" w:rsidRDefault="00CA4017" w:rsidP="0059743D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:rsidR="00845073" w:rsidRDefault="007D244C" w:rsidP="00845073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</w:t>
      </w:r>
      <w:r w:rsidR="00625AA5">
        <w:t>.</w:t>
      </w:r>
    </w:p>
    <w:p w:rsidR="00625AA5" w:rsidRPr="00845073" w:rsidRDefault="00845073" w:rsidP="0084507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845073">
        <w:rPr>
          <w:rFonts w:cstheme="minorHAnsi"/>
          <w:bCs/>
        </w:rPr>
        <w:t>Z dotace lze hradit</w:t>
      </w:r>
      <w:r w:rsidRPr="00845073">
        <w:rPr>
          <w:rFonts w:cstheme="minorHAnsi"/>
          <w:b/>
          <w:bCs/>
        </w:rPr>
        <w:t xml:space="preserve"> </w:t>
      </w:r>
      <w:r w:rsidRPr="00845073">
        <w:rPr>
          <w:rFonts w:cstheme="minorHAnsi"/>
        </w:rPr>
        <w:t xml:space="preserve">jízdné pouze po ČR a ve výši odpovídající ceně jízdenky za prostředek hromadné dopravy, a to i v případě použití silničního motorového vozidla. </w:t>
      </w:r>
    </w:p>
    <w:p w:rsidR="002B2CC7" w:rsidRDefault="00193EF9" w:rsidP="0059743D">
      <w:pPr>
        <w:pStyle w:val="Odstavecseseznamem"/>
        <w:numPr>
          <w:ilvl w:val="0"/>
          <w:numId w:val="8"/>
        </w:numPr>
        <w:jc w:val="both"/>
      </w:pPr>
      <w:r>
        <w:t>V rámci projektu l</w:t>
      </w:r>
      <w:r w:rsidR="00625AA5">
        <w:t>ze hradit náklady spojené se zajištěním přístupnosti akcí znevýhodněným osobám, seniorům a dalším skupinám osob se specifickými potřebami.</w:t>
      </w:r>
    </w:p>
    <w:p w:rsidR="00DB45AF" w:rsidRDefault="00DB45AF" w:rsidP="00DB45AF">
      <w:pPr>
        <w:pStyle w:val="Odstavecseseznamem"/>
        <w:jc w:val="both"/>
      </w:pPr>
    </w:p>
    <w:p w:rsidR="00CF6528" w:rsidRPr="002B2CC7" w:rsidRDefault="00CF6528" w:rsidP="00DB45AF">
      <w:pPr>
        <w:pStyle w:val="Odstavecseseznamem"/>
        <w:jc w:val="both"/>
      </w:pPr>
    </w:p>
    <w:p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3163983"/>
      <w:r w:rsidRPr="000036D5">
        <w:rPr>
          <w:rFonts w:cstheme="majorHAnsi"/>
          <w:b/>
          <w:color w:val="000000" w:themeColor="text1"/>
          <w:sz w:val="32"/>
          <w:szCs w:val="32"/>
        </w:rPr>
        <w:t>10. Nezpůsobilé náklady</w:t>
      </w:r>
      <w:bookmarkEnd w:id="15"/>
    </w:p>
    <w:p w:rsidR="00AE09D3" w:rsidRDefault="00AE09D3" w:rsidP="00794618">
      <w:pPr>
        <w:ind w:firstLine="708"/>
        <w:jc w:val="both"/>
        <w:rPr>
          <w:b/>
        </w:rPr>
      </w:pPr>
    </w:p>
    <w:p w:rsidR="00B70E92" w:rsidRPr="00B70E92" w:rsidRDefault="00B70E92" w:rsidP="00B70E92">
      <w:pPr>
        <w:spacing w:after="43"/>
        <w:ind w:left="370"/>
        <w:rPr>
          <w:b/>
        </w:rPr>
      </w:pPr>
      <w:r w:rsidRPr="00B70E92">
        <w:rPr>
          <w:b/>
        </w:rPr>
        <w:t xml:space="preserve">Dotaci nelze poskytnout na: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Aktivity, které neodpovídají zaměření programu a podmínkám příslušné výzvy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Běžné provozní výdaje žadatele nesouvisející s realizací projektu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bookmarkStart w:id="16" w:name="_Hlk201661174"/>
      <w:r w:rsidRPr="00F76C87">
        <w:t xml:space="preserve">Zabezpečení chodu sekretariátu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F76C87">
        <w:t>Investiční náklady</w:t>
      </w:r>
      <w:r w:rsidRPr="006F2E13">
        <w:t xml:space="preserve">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F76C87">
        <w:t>Výdaje na mzdy funkcionářů</w:t>
      </w:r>
    </w:p>
    <w:bookmarkEnd w:id="16"/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Udílení věcných nebo finančních ocenění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bookmarkStart w:id="17" w:name="_Hlk201661199"/>
      <w:r w:rsidRPr="00F76C87">
        <w:t>Dary, včetně květinových, reklamní předměty</w:t>
      </w:r>
    </w:p>
    <w:bookmarkEnd w:id="17"/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Zpracování projektu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>Bankovní poplatky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>Občerstvení,</w:t>
      </w:r>
      <w:r w:rsidRPr="00F76C87">
        <w:t xml:space="preserve"> pohoštění</w:t>
      </w:r>
      <w:r w:rsidRPr="006F2E13">
        <w:t xml:space="preserve">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bookmarkStart w:id="18" w:name="_Hlk201661286"/>
      <w:r w:rsidRPr="00F76C87">
        <w:t>Poplatky OSA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F76C87">
        <w:t>Vstupné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Pohonné hmoty </w:t>
      </w:r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>Taxi</w:t>
      </w:r>
    </w:p>
    <w:bookmarkEnd w:id="18"/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r w:rsidRPr="006F2E13">
        <w:t xml:space="preserve">Vyškolení personálu </w:t>
      </w:r>
    </w:p>
    <w:p w:rsidR="00B70E92" w:rsidRPr="006F2E13" w:rsidRDefault="00B70E92" w:rsidP="007F34E9">
      <w:pPr>
        <w:numPr>
          <w:ilvl w:val="0"/>
          <w:numId w:val="34"/>
        </w:numPr>
        <w:spacing w:after="44" w:line="249" w:lineRule="auto"/>
        <w:ind w:hanging="360"/>
        <w:jc w:val="both"/>
      </w:pPr>
      <w:bookmarkStart w:id="19" w:name="_Hlk201661314"/>
      <w:r w:rsidRPr="00F76C87">
        <w:t>Účetní a právní služby</w:t>
      </w:r>
      <w:bookmarkEnd w:id="19"/>
    </w:p>
    <w:p w:rsidR="00B70E92" w:rsidRPr="006F2E13" w:rsidRDefault="00B70E92" w:rsidP="00B70E92">
      <w:pPr>
        <w:numPr>
          <w:ilvl w:val="0"/>
          <w:numId w:val="34"/>
        </w:numPr>
        <w:spacing w:after="44" w:line="249" w:lineRule="auto"/>
        <w:ind w:hanging="360"/>
        <w:jc w:val="both"/>
      </w:pPr>
      <w:bookmarkStart w:id="20" w:name="_Hlk201661329"/>
      <w:r w:rsidRPr="006F2E13">
        <w:t>Úhradu nákladů spojených se zahraničními cestami</w:t>
      </w:r>
      <w:r w:rsidRPr="006F2E13">
        <w:rPr>
          <w:i/>
        </w:rPr>
        <w:t xml:space="preserve"> </w:t>
      </w:r>
    </w:p>
    <w:bookmarkEnd w:id="20"/>
    <w:p w:rsidR="001D436A" w:rsidRPr="00DB45AF" w:rsidRDefault="001D436A" w:rsidP="001D436A">
      <w:pPr>
        <w:pStyle w:val="Odstavecseseznamem"/>
        <w:ind w:left="1068"/>
        <w:jc w:val="both"/>
        <w:rPr>
          <w:i/>
        </w:rPr>
      </w:pPr>
    </w:p>
    <w:p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21" w:name="_Toc173163984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21"/>
    </w:p>
    <w:p w:rsidR="007D244C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programem a touto výzvou. </w:t>
      </w:r>
    </w:p>
    <w:p w:rsidR="00F03BEC" w:rsidRPr="00845073" w:rsidRDefault="007D244C" w:rsidP="0059743D">
      <w:pPr>
        <w:pStyle w:val="Odstavecseseznamem"/>
        <w:numPr>
          <w:ilvl w:val="0"/>
          <w:numId w:val="10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845073">
        <w:t>Trpí-li žádost o poskytnutí dotace vadami, vyzve MK</w:t>
      </w:r>
      <w:r w:rsidR="000B29C4" w:rsidRPr="00845073">
        <w:t>ČR</w:t>
      </w:r>
      <w:r w:rsidR="00F03BEC" w:rsidRPr="00845073">
        <w:t xml:space="preserve"> žadatele o dotaci </w:t>
      </w:r>
      <w:r w:rsidR="000B29C4" w:rsidRPr="00845073">
        <w:t xml:space="preserve">prostřednictvím DPMK </w:t>
      </w:r>
      <w:r w:rsidR="00F03BEC" w:rsidRPr="00845073">
        <w:t>k odstranění vad, k tomu mu poskytne přiměřenou lhůtu</w:t>
      </w:r>
      <w:r w:rsidR="001D436A" w:rsidRPr="00845073">
        <w:t>.</w:t>
      </w:r>
      <w:r w:rsidR="00F03BEC" w:rsidRPr="00845073">
        <w:t xml:space="preserve"> </w:t>
      </w:r>
    </w:p>
    <w:p w:rsidR="007D244C" w:rsidRPr="00845073" w:rsidRDefault="00F03BEC" w:rsidP="0059743D">
      <w:pPr>
        <w:pStyle w:val="Odstavecseseznamem"/>
        <w:numPr>
          <w:ilvl w:val="0"/>
          <w:numId w:val="10"/>
        </w:numPr>
        <w:jc w:val="both"/>
      </w:pPr>
      <w:r w:rsidRPr="00845073">
        <w:t xml:space="preserve">Pokud žadatel neodstraní vady žádosti ve stanovené lhůtě, nebude jeho žádost předložena dotační výběrové komisi k následnému hodnocení a řízení o ní bude zastaveno. </w:t>
      </w:r>
    </w:p>
    <w:p w:rsidR="00F03BEC" w:rsidRDefault="00F03BEC" w:rsidP="0059743D">
      <w:pPr>
        <w:pStyle w:val="Odstavecseseznamem"/>
        <w:numPr>
          <w:ilvl w:val="0"/>
          <w:numId w:val="10"/>
        </w:numPr>
        <w:jc w:val="both"/>
      </w:pPr>
      <w:r>
        <w:t>Při kontrole úplnosti a formální správnosti se zejména ověřuje:</w:t>
      </w:r>
    </w:p>
    <w:p w:rsidR="00F03BEC" w:rsidRDefault="001A6D3A" w:rsidP="0059743D">
      <w:pPr>
        <w:pStyle w:val="Odstavecseseznamem"/>
        <w:numPr>
          <w:ilvl w:val="0"/>
          <w:numId w:val="11"/>
        </w:numPr>
        <w:jc w:val="both"/>
      </w:pPr>
      <w:r>
        <w:lastRenderedPageBreak/>
        <w:t>Zda je žada</w:t>
      </w:r>
      <w:r w:rsidR="009446C8">
        <w:t>tel oprávněným žadatelem dle této výzvy</w:t>
      </w:r>
      <w:r w:rsidR="00D11DE9">
        <w:t>.</w:t>
      </w:r>
    </w:p>
    <w:p w:rsidR="009446C8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:rsidR="000C36C6" w:rsidRPr="001D436A" w:rsidRDefault="000C36C6" w:rsidP="0059743D">
      <w:pPr>
        <w:pStyle w:val="Odstavecseseznamem"/>
        <w:numPr>
          <w:ilvl w:val="0"/>
          <w:numId w:val="11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:rsidR="000C36C6" w:rsidRDefault="000C36C6" w:rsidP="0059743D">
      <w:pPr>
        <w:pStyle w:val="Odstavecseseznamem"/>
        <w:numPr>
          <w:ilvl w:val="0"/>
          <w:numId w:val="10"/>
        </w:numPr>
        <w:jc w:val="both"/>
      </w:pPr>
      <w:r>
        <w:t>Není-li ža</w:t>
      </w:r>
      <w:r w:rsidR="001D436A">
        <w:t>d</w:t>
      </w:r>
      <w:r>
        <w:t>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:rsidR="00F522DC" w:rsidRDefault="000C36C6" w:rsidP="0059743D">
      <w:pPr>
        <w:pStyle w:val="Odstavecseseznamem"/>
        <w:numPr>
          <w:ilvl w:val="0"/>
          <w:numId w:val="10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:rsidR="00DB45AF" w:rsidRPr="007D244C" w:rsidRDefault="00DB45AF" w:rsidP="00DB45AF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3163985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22"/>
    </w:p>
    <w:p w:rsidR="00C84F5E" w:rsidRDefault="00C84F5E" w:rsidP="00AE09D3">
      <w:pPr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22"/>
        <w:gridCol w:w="6661"/>
        <w:gridCol w:w="1981"/>
      </w:tblGrid>
      <w:tr w:rsidR="00B70E92" w:rsidTr="00B70E92">
        <w:trPr>
          <w:trHeight w:val="315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6"/>
              <w:jc w:val="center"/>
            </w:pPr>
            <w:r>
              <w:rPr>
                <w:b/>
              </w:rPr>
              <w:t xml:space="preserve">Kritérium hodnocení </w:t>
            </w:r>
          </w:p>
          <w:p w:rsidR="00B70E92" w:rsidRDefault="00B70E92" w:rsidP="00CE29FE">
            <w:pPr>
              <w:spacing w:line="259" w:lineRule="auto"/>
              <w:ind w:left="5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3"/>
              <w:jc w:val="center"/>
            </w:pPr>
            <w:r>
              <w:rPr>
                <w:b/>
              </w:rPr>
              <w:t>Maximum bodů</w:t>
            </w:r>
            <w:r>
              <w:t xml:space="preserve">  </w:t>
            </w:r>
          </w:p>
        </w:tc>
      </w:tr>
      <w:tr w:rsidR="00B70E92" w:rsidTr="00CE29FE">
        <w:trPr>
          <w:trHeight w:val="2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1.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</w:pPr>
            <w:r>
              <w:t xml:space="preserve">Kvalita obsahu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15 </w:t>
            </w:r>
          </w:p>
        </w:tc>
      </w:tr>
      <w:tr w:rsidR="00B70E92" w:rsidTr="00CE29FE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2.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</w:pPr>
            <w:r>
              <w:t xml:space="preserve">Přínos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>20</w:t>
            </w:r>
          </w:p>
        </w:tc>
      </w:tr>
      <w:tr w:rsidR="00B70E92" w:rsidTr="00CE29FE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3.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</w:pPr>
            <w:r>
              <w:t xml:space="preserve">Kvalita realizace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>15</w:t>
            </w:r>
          </w:p>
        </w:tc>
      </w:tr>
      <w:tr w:rsidR="00B70E92" w:rsidTr="00CE29FE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4.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</w:pPr>
            <w:r>
              <w:t xml:space="preserve">Rozpočet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20 </w:t>
            </w:r>
          </w:p>
        </w:tc>
      </w:tr>
      <w:tr w:rsidR="00B70E92" w:rsidTr="00CE29FE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5.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</w:pPr>
            <w:r>
              <w:t xml:space="preserve">Finanční plán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10 </w:t>
            </w:r>
          </w:p>
        </w:tc>
      </w:tr>
      <w:tr w:rsidR="00B70E92" w:rsidTr="00CE29FE">
        <w:trPr>
          <w:trHeight w:val="27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 xml:space="preserve">6.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Pr="00A261E5" w:rsidRDefault="003654EA" w:rsidP="00CE29FE">
            <w:pPr>
              <w:spacing w:line="259" w:lineRule="auto"/>
              <w:rPr>
                <w:color w:val="FF0000"/>
              </w:rPr>
            </w:pPr>
            <w:r>
              <w:rPr>
                <w:rFonts w:cstheme="minorHAnsi"/>
              </w:rPr>
              <w:t>Přístupnost projektu znevýhodněným osobám, seniorům a dalším skupinám osob se specifickými potřebami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Default="00B70E92" w:rsidP="00CE29FE">
            <w:pPr>
              <w:spacing w:line="259" w:lineRule="auto"/>
              <w:ind w:left="2"/>
            </w:pPr>
            <w:r>
              <w:t>20</w:t>
            </w:r>
          </w:p>
        </w:tc>
      </w:tr>
      <w:tr w:rsidR="00B70E92" w:rsidRPr="00787DAA" w:rsidTr="00CE29FE">
        <w:trPr>
          <w:trHeight w:val="281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Pr="00787DAA" w:rsidRDefault="00B70E92" w:rsidP="00CE29FE">
            <w:pPr>
              <w:spacing w:line="259" w:lineRule="auto"/>
              <w:ind w:left="2"/>
              <w:rPr>
                <w:b/>
              </w:rPr>
            </w:pPr>
            <w:r w:rsidRPr="00787DAA">
              <w:rPr>
                <w:b/>
              </w:rPr>
              <w:t xml:space="preserve">Maximální počet bodů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92" w:rsidRPr="00787DAA" w:rsidRDefault="00B70E92" w:rsidP="00CE29FE">
            <w:pPr>
              <w:spacing w:line="259" w:lineRule="auto"/>
              <w:ind w:left="2"/>
              <w:rPr>
                <w:b/>
              </w:rPr>
            </w:pPr>
            <w:r w:rsidRPr="00787DAA">
              <w:rPr>
                <w:b/>
              </w:rPr>
              <w:t xml:space="preserve">100 </w:t>
            </w:r>
          </w:p>
        </w:tc>
      </w:tr>
    </w:tbl>
    <w:p w:rsidR="00F522DC" w:rsidRPr="00B70E92" w:rsidRDefault="00F522DC" w:rsidP="002020D2">
      <w:pPr>
        <w:spacing w:after="0"/>
        <w:contextualSpacing/>
        <w:rPr>
          <w:highlight w:val="yellow"/>
        </w:rPr>
      </w:pPr>
    </w:p>
    <w:p w:rsidR="00F522DC" w:rsidRPr="00B22FDE" w:rsidRDefault="00F522DC" w:rsidP="00B22FDE"/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3163986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23"/>
    </w:p>
    <w:p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S výsledky výběrového dotačního řízení budou žadatelé seznámeni: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zveřejněním výsledků dotačního výběrového řízení na internetových stránkách MKČR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prostřednictvím DPMK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usnesením o zastavení řízení podle § 14j odst. 4 písm. a), b) nebo d) rozpočtových pravidel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:rsidR="00B52A4A" w:rsidRDefault="00B52A4A" w:rsidP="0059743D">
      <w:pPr>
        <w:pStyle w:val="Odstavecseseznamem"/>
        <w:numPr>
          <w:ilvl w:val="0"/>
          <w:numId w:val="14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:rsidR="00B52A4A" w:rsidRDefault="00B52A4A" w:rsidP="0059743D">
      <w:pPr>
        <w:pStyle w:val="Odstavecseseznamem"/>
        <w:numPr>
          <w:ilvl w:val="0"/>
          <w:numId w:val="13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:rsidR="00AE09D3" w:rsidRDefault="00AE09D3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24" w:name="_Toc173163987"/>
    </w:p>
    <w:p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24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:rsidR="00B52A4A" w:rsidRDefault="0084208F" w:rsidP="0059743D">
      <w:pPr>
        <w:pStyle w:val="Odstavecseseznamem"/>
        <w:numPr>
          <w:ilvl w:val="0"/>
          <w:numId w:val="15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:rsidR="005F3A24" w:rsidRPr="00062C3E" w:rsidRDefault="001D774C" w:rsidP="0059743D">
      <w:pPr>
        <w:pStyle w:val="Odstavecseseznamem"/>
        <w:numPr>
          <w:ilvl w:val="0"/>
          <w:numId w:val="15"/>
        </w:numPr>
        <w:jc w:val="both"/>
      </w:pPr>
      <w: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6002B8" w:rsidRPr="006002B8">
        <w:rPr>
          <w:b/>
        </w:rPr>
        <w:t>8.12.2026</w:t>
      </w:r>
      <w:r>
        <w:t xml:space="preserve">. </w:t>
      </w:r>
      <w:r w:rsidRPr="00062C3E">
        <w:t>Povinnost se nevztahuje na snížení celkových nákladů projektu v návaznosti na výši přidělené dotace a nevztahuje se na takové změny rozpočtu projektu, které se nedotýkají struktury dotace stanovené rozhodnutím.</w:t>
      </w:r>
    </w:p>
    <w:p w:rsidR="00B52A4A" w:rsidRDefault="000A26C1" w:rsidP="0059743D">
      <w:pPr>
        <w:pStyle w:val="Odstavecseseznamem"/>
        <w:numPr>
          <w:ilvl w:val="0"/>
          <w:numId w:val="15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:rsidR="00EA3DE4" w:rsidRPr="00B52A4A" w:rsidRDefault="00EA3DE4" w:rsidP="00EA3DE4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5" w:name="_Toc173163988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25"/>
    </w:p>
    <w:p w:rsidR="004C25E2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Termín vyúčtování dotace je </w:t>
      </w:r>
      <w:bookmarkStart w:id="26" w:name="_GoBack"/>
      <w:r w:rsidR="006002B8" w:rsidRPr="00014113">
        <w:rPr>
          <w:b/>
          <w:color w:val="FF0000"/>
        </w:rPr>
        <w:t>22.1.2027</w:t>
      </w:r>
      <w:bookmarkEnd w:id="26"/>
      <w:r w:rsidRPr="008E071C">
        <w:t>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Účetní doklady přiřazené k projektu v účetnictví příjemce se musí vztahovat vždy pouze </w:t>
      </w:r>
      <w:r w:rsidR="008E071C">
        <w:br/>
      </w:r>
      <w:r>
        <w:t>ke způsobilým nákladům daného projektu.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:rsidR="001D774C" w:rsidRPr="00062C3E" w:rsidRDefault="001D774C" w:rsidP="0059743D">
      <w:pPr>
        <w:pStyle w:val="Odstavecseseznamem"/>
        <w:numPr>
          <w:ilvl w:val="0"/>
          <w:numId w:val="16"/>
        </w:numPr>
        <w:jc w:val="both"/>
      </w:pPr>
      <w:r w:rsidRPr="00062C3E">
        <w:t>Dojde-li k úspoře vynaložených finančních prostředků, má se za to, že došlo k úspoře prostředků ze státního rozpočtu a ty musí být navráceny zpět.</w:t>
      </w:r>
      <w:r w:rsidR="00CF245E" w:rsidRPr="00062C3E">
        <w:t xml:space="preserve"> </w:t>
      </w:r>
    </w:p>
    <w:p w:rsidR="001D774C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:rsidR="00776505" w:rsidRDefault="001D774C" w:rsidP="0059743D">
      <w:pPr>
        <w:pStyle w:val="Odstavecseseznamem"/>
        <w:numPr>
          <w:ilvl w:val="0"/>
          <w:numId w:val="16"/>
        </w:numPr>
        <w:jc w:val="both"/>
      </w:pPr>
      <w:r>
        <w:t xml:space="preserve"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</w:t>
      </w:r>
      <w:r>
        <w:lastRenderedPageBreak/>
        <w:t>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výši</w:t>
      </w:r>
      <w:r w:rsidR="00776505" w:rsidRPr="00800452">
        <w:rPr>
          <w:i/>
        </w:rPr>
        <w:t xml:space="preserve"> </w:t>
      </w:r>
      <w:r w:rsidR="00CF245E">
        <w:rPr>
          <w:i/>
        </w:rPr>
        <w:t>5</w:t>
      </w:r>
      <w:r w:rsidR="00776505">
        <w:t xml:space="preserve"> % z celkové částky dotace, se ve smyslu § 14 odst. 5 zákona č. 218/2000 Sb. považuje: 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porušení povinnosti příjemce uvádět na materiálech vytvořených v rámci projektu nebo souvisejících s jeho realizací, že se projekt uskutečňuje za finanční podpory M</w:t>
      </w:r>
      <w:r w:rsidR="00273CE1" w:rsidRPr="00717718">
        <w:t>K ČR</w:t>
      </w:r>
      <w:r w:rsidR="00800452" w:rsidRPr="00717718">
        <w:t>,</w:t>
      </w:r>
      <w:r w:rsidRPr="00717718">
        <w:t xml:space="preserve"> 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zaslání závěrečné zprávy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předložení vyúčtování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lhůt pro oznámení změn identifikačních údajů příjemce</w:t>
      </w:r>
      <w:r w:rsidR="00800452" w:rsidRPr="00717718">
        <w:t>,</w:t>
      </w:r>
    </w:p>
    <w:p w:rsidR="00776505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porušení povinnosti příjemce zaslat vydané publikace a pozvánky na dotované akce</w:t>
      </w:r>
      <w:r w:rsidR="00800452" w:rsidRPr="00717718">
        <w:t>,</w:t>
      </w:r>
      <w:r w:rsidRPr="00717718">
        <w:t xml:space="preserve"> </w:t>
      </w:r>
    </w:p>
    <w:p w:rsidR="004C25E2" w:rsidRPr="00717718" w:rsidRDefault="00776505" w:rsidP="0059743D">
      <w:pPr>
        <w:pStyle w:val="Odstavecseseznamem"/>
        <w:numPr>
          <w:ilvl w:val="0"/>
          <w:numId w:val="24"/>
        </w:numPr>
        <w:ind w:left="1276"/>
        <w:jc w:val="both"/>
      </w:pPr>
      <w:r w:rsidRPr="00717718">
        <w:t>nedodržení struktury dotace.</w:t>
      </w:r>
    </w:p>
    <w:p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:rsidR="001D774C" w:rsidRDefault="00974B27" w:rsidP="0059743D">
      <w:pPr>
        <w:pStyle w:val="Odstavecseseznamem"/>
        <w:numPr>
          <w:ilvl w:val="0"/>
          <w:numId w:val="16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:rsidR="00974B27" w:rsidRDefault="00974B27" w:rsidP="0059743D">
      <w:pPr>
        <w:pStyle w:val="Odstavecseseznamem"/>
        <w:numPr>
          <w:ilvl w:val="0"/>
          <w:numId w:val="16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:rsidR="00865E5A" w:rsidRDefault="006A5824" w:rsidP="0059743D">
      <w:pPr>
        <w:pStyle w:val="Odstavecseseznamem"/>
        <w:numPr>
          <w:ilvl w:val="0"/>
          <w:numId w:val="16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7" w:name="_Toc173163989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7"/>
    </w:p>
    <w:p w:rsidR="00974B27" w:rsidRDefault="00974B27" w:rsidP="0059743D">
      <w:pPr>
        <w:pStyle w:val="Odstavecseseznamem"/>
        <w:numPr>
          <w:ilvl w:val="0"/>
          <w:numId w:val="18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a informaci o tom, že se projekt uskutečňuje za finanční podpory MKČR. </w:t>
      </w:r>
    </w:p>
    <w:p w:rsidR="00974B27" w:rsidRPr="00535EAC" w:rsidRDefault="00A71739" w:rsidP="00794618">
      <w:pPr>
        <w:pStyle w:val="Odstavecseseznamem"/>
        <w:numPr>
          <w:ilvl w:val="0"/>
          <w:numId w:val="18"/>
        </w:numPr>
        <w:spacing w:after="0"/>
        <w:ind w:left="714" w:hanging="357"/>
        <w:jc w:val="both"/>
      </w:pPr>
      <w:r>
        <w:t>Logo je dostupné na webových stránkách MKČR</w:t>
      </w:r>
      <w:r w:rsidR="00223EE9">
        <w:t xml:space="preserve"> </w:t>
      </w:r>
      <w:hyperlink r:id="rId11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:rsidR="00794618" w:rsidRDefault="00794618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8" w:name="_Toc173163990"/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8"/>
    </w:p>
    <w:p w:rsidR="00A71739" w:rsidRDefault="00A71739" w:rsidP="00F522DC">
      <w:pPr>
        <w:jc w:val="both"/>
      </w:pPr>
      <w:r>
        <w:t>Příjemce dotace je povinen:</w:t>
      </w:r>
    </w:p>
    <w:p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:rsidR="00A71739" w:rsidRPr="00C777AB" w:rsidRDefault="00A71739" w:rsidP="0059743D">
      <w:pPr>
        <w:pStyle w:val="Odstavecseseznamem"/>
        <w:numPr>
          <w:ilvl w:val="0"/>
          <w:numId w:val="17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676E8B">
        <w:t>31.12.</w:t>
      </w:r>
      <w:r w:rsidR="00717718">
        <w:t xml:space="preserve"> </w:t>
      </w:r>
      <w:r w:rsidR="00676E8B">
        <w:t>ro</w:t>
      </w:r>
      <w:r w:rsidR="00ED6A25" w:rsidRPr="00C777AB">
        <w:t>ku, na který byla dotace poskytnuta</w:t>
      </w:r>
      <w:r w:rsidR="00DA36D3">
        <w:t>;</w:t>
      </w:r>
    </w:p>
    <w:p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t>p</w:t>
      </w:r>
      <w:r w:rsidR="00ED6A25" w:rsidRPr="00C777AB">
        <w:t>odíl dotace ze státního rozpočtu na financování projektu na jeho realizaci činí</w:t>
      </w:r>
      <w:r w:rsidR="005814D4">
        <w:t xml:space="preserve"> </w:t>
      </w:r>
      <w:r w:rsidR="008E4DB6">
        <w:t>nejvýše</w:t>
      </w:r>
      <w:r w:rsidR="00ED6A25" w:rsidRPr="008E071C">
        <w:rPr>
          <w:i/>
        </w:rPr>
        <w:t xml:space="preserve"> </w:t>
      </w:r>
      <w:r w:rsidR="00676E8B" w:rsidRPr="002752A2">
        <w:t>70</w:t>
      </w:r>
      <w:r w:rsidR="00ED6A25" w:rsidRPr="002752A2">
        <w:t xml:space="preserve"> %</w:t>
      </w:r>
      <w:r w:rsidR="00ED6A25" w:rsidRPr="00C777AB">
        <w:t xml:space="preserve"> z celkových skutečných nákladů.</w:t>
      </w:r>
    </w:p>
    <w:p w:rsidR="00ED6A25" w:rsidRPr="00C777AB" w:rsidRDefault="00800452" w:rsidP="0059743D">
      <w:pPr>
        <w:pStyle w:val="Odstavecseseznamem"/>
        <w:numPr>
          <w:ilvl w:val="0"/>
          <w:numId w:val="17"/>
        </w:numPr>
        <w:jc w:val="both"/>
      </w:pPr>
      <w:r>
        <w:lastRenderedPageBreak/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:rsidR="00ED6A25" w:rsidRPr="00717718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  <w:r w:rsidRPr="00717718">
        <w:t>Náklady hospodárně, účelně a efektivně vynaložené v dobré víře příjemcem na akce nebo dílčí kroky v přímé souvislosti s projektem se považují za náklady vynaložené na účel uvedený v </w:t>
      </w:r>
      <w:r w:rsidR="00130EFF" w:rsidRPr="00717718">
        <w:t>r</w:t>
      </w:r>
      <w:r w:rsidRPr="00717718">
        <w:t>ozhodnutí.</w:t>
      </w:r>
    </w:p>
    <w:p w:rsidR="00ED6A25" w:rsidRPr="00062C3E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postupovat v souladu se zákonem č. 134/2016 Sb., o zadávání veřejných zakázek, v platném znění, pokud použije prostředky státního rozpočtu k úhradě zakázky, která je nadlimitní nebo </w:t>
      </w:r>
      <w:r w:rsidRPr="00062C3E">
        <w:t>podlimitní veřejnou zakázkou podle tohoto zákona.</w:t>
      </w:r>
    </w:p>
    <w:p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:rsidR="00ED6A25" w:rsidRPr="00C777AB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nevyčerpané nebo vr</w:t>
      </w:r>
      <w:r w:rsidR="00676E8B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:rsidR="00ED6A25" w:rsidRDefault="00ED6A25" w:rsidP="0059743D">
      <w:pPr>
        <w:pStyle w:val="Odstavecseseznamem"/>
        <w:numPr>
          <w:ilvl w:val="0"/>
          <w:numId w:val="17"/>
        </w:numPr>
        <w:jc w:val="both"/>
      </w:pPr>
      <w:r w:rsidRPr="00C777AB">
        <w:t>před případným zánikem přednostně vypořádat vztahy se státním rozpočtem.</w:t>
      </w:r>
    </w:p>
    <w:p w:rsidR="00794618" w:rsidRDefault="00794618" w:rsidP="00794618">
      <w:pPr>
        <w:pStyle w:val="Odstavecseseznamem"/>
        <w:jc w:val="both"/>
      </w:pPr>
    </w:p>
    <w:p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9" w:name="_Toc173163991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9"/>
    </w:p>
    <w:p w:rsidR="00ED6A25" w:rsidRDefault="00C777AB" w:rsidP="0059743D">
      <w:pPr>
        <w:pStyle w:val="Odstavecseseznamem"/>
        <w:numPr>
          <w:ilvl w:val="0"/>
          <w:numId w:val="19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:rsidR="00C777AB" w:rsidRPr="0042352F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 xml:space="preserve">k doložení dalších podkladů nebo údajů nezbytných pro vydání rozhodnutí o poskytnutí dotace. </w:t>
      </w:r>
      <w:r w:rsidRPr="0042352F">
        <w:t>Lhůta</w:t>
      </w:r>
      <w:r w:rsidR="008E071C" w:rsidRPr="0042352F">
        <w:t xml:space="preserve"> </w:t>
      </w:r>
      <w:r w:rsidR="008E071C" w:rsidRPr="0042352F">
        <w:br/>
      </w:r>
      <w:r w:rsidRPr="0042352F">
        <w:t>na doložení dalších podkladů bude MK</w:t>
      </w:r>
      <w:r w:rsidR="00643CD0" w:rsidRPr="0042352F">
        <w:t>ČR</w:t>
      </w:r>
      <w:r w:rsidRPr="0042352F">
        <w:t xml:space="preserve"> stanovena přiměřeně k povaze požadovaných dokladů.</w:t>
      </w:r>
    </w:p>
    <w:p w:rsidR="00A71739" w:rsidRDefault="00C777AB" w:rsidP="0059743D">
      <w:pPr>
        <w:pStyle w:val="Odstavecseseznamem"/>
        <w:numPr>
          <w:ilvl w:val="0"/>
          <w:numId w:val="19"/>
        </w:numPr>
        <w:jc w:val="both"/>
      </w:pPr>
      <w:r>
        <w:t>Na dotaci není právní nárok.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Údaje o poskytnutých dotacích a příjemcích dotací budou zveřejněny</w:t>
      </w:r>
      <w:r w:rsidR="00676E8B">
        <w:t xml:space="preserve"> v Registru dotací</w:t>
      </w:r>
      <w:r>
        <w:t xml:space="preserve">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:rsidR="00C777AB" w:rsidRDefault="00C777AB" w:rsidP="0059743D">
      <w:pPr>
        <w:pStyle w:val="Odstavecseseznamem"/>
        <w:numPr>
          <w:ilvl w:val="0"/>
          <w:numId w:val="19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:rsidR="00F92C53" w:rsidRDefault="00F92C53" w:rsidP="00F92C53">
      <w:pPr>
        <w:pStyle w:val="Odstavecseseznamem"/>
        <w:jc w:val="both"/>
      </w:pPr>
    </w:p>
    <w:p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30" w:name="_Toc17316399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19. Kontakty </w:t>
      </w:r>
      <w:bookmarkEnd w:id="30"/>
    </w:p>
    <w:p w:rsidR="00AE09D3" w:rsidRDefault="00AE09D3" w:rsidP="0042352F">
      <w:pPr>
        <w:spacing w:after="159"/>
        <w:ind w:left="-5"/>
        <w:rPr>
          <w:b/>
        </w:rPr>
      </w:pPr>
    </w:p>
    <w:p w:rsidR="0042352F" w:rsidRPr="00D226DB" w:rsidRDefault="0042352F" w:rsidP="0042352F">
      <w:pPr>
        <w:spacing w:after="159"/>
        <w:ind w:left="-5"/>
      </w:pPr>
      <w:r w:rsidRPr="00D226DB">
        <w:rPr>
          <w:b/>
        </w:rPr>
        <w:t xml:space="preserve">Metodická podpora </w:t>
      </w:r>
    </w:p>
    <w:p w:rsidR="0042352F" w:rsidRDefault="00B70E92" w:rsidP="0042352F">
      <w:pPr>
        <w:spacing w:after="0" w:line="402" w:lineRule="auto"/>
        <w:ind w:left="-5" w:right="919"/>
      </w:pPr>
      <w:r w:rsidRPr="00B65CA4">
        <w:t>Mgr. Iva Matějková</w:t>
      </w:r>
      <w:r>
        <w:t>,</w:t>
      </w:r>
      <w:r w:rsidR="0042352F" w:rsidRPr="00D226DB">
        <w:t xml:space="preserve"> tel. + 420 257 085 </w:t>
      </w:r>
      <w:r>
        <w:t>409</w:t>
      </w:r>
      <w:r w:rsidR="0042352F" w:rsidRPr="00D226DB">
        <w:t xml:space="preserve">, email: </w:t>
      </w:r>
      <w:hyperlink r:id="rId12" w:history="1">
        <w:r w:rsidRPr="00F6254F">
          <w:rPr>
            <w:rStyle w:val="Hypertextovodkaz"/>
          </w:rPr>
          <w:t>iva.matejkova@mk.gov.cz</w:t>
        </w:r>
      </w:hyperlink>
    </w:p>
    <w:p w:rsidR="00717718" w:rsidRDefault="00717718" w:rsidP="0042352F">
      <w:pPr>
        <w:spacing w:after="0" w:line="402" w:lineRule="auto"/>
        <w:ind w:left="-5" w:right="919"/>
        <w:rPr>
          <w:u w:val="single" w:color="0563C1"/>
        </w:rPr>
      </w:pPr>
    </w:p>
    <w:p w:rsidR="0042352F" w:rsidRDefault="0042352F" w:rsidP="00717718">
      <w:pPr>
        <w:spacing w:after="0" w:line="402" w:lineRule="auto"/>
        <w:ind w:left="-5" w:right="919"/>
      </w:pPr>
      <w:r>
        <w:rPr>
          <w:b/>
        </w:rPr>
        <w:t xml:space="preserve">Technická podpora  </w:t>
      </w:r>
    </w:p>
    <w:p w:rsidR="0042352F" w:rsidRDefault="0042352F" w:rsidP="0042352F">
      <w:pPr>
        <w:spacing w:after="0" w:line="401" w:lineRule="auto"/>
        <w:ind w:left="-5" w:right="2409"/>
      </w:pPr>
      <w:r>
        <w:lastRenderedPageBreak/>
        <w:t xml:space="preserve">Provozní doba pondělí až pátek 8.00 až 17.00 hod tel.: +420 841 135 135 email: </w:t>
      </w:r>
      <w:r>
        <w:rPr>
          <w:color w:val="0563C1"/>
          <w:u w:val="single" w:color="0563C1"/>
        </w:rPr>
        <w:t>hotline-dpmk@asd-software.cz</w:t>
      </w:r>
      <w:r>
        <w:t xml:space="preserve"> </w:t>
      </w:r>
    </w:p>
    <w:p w:rsidR="0052754F" w:rsidRPr="0052754F" w:rsidRDefault="0052754F" w:rsidP="0042352F"/>
    <w:sectPr w:rsidR="0052754F" w:rsidRPr="0052754F" w:rsidSect="002020D2">
      <w:headerReference w:type="default" r:id="rId13"/>
      <w:footerReference w:type="defaul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11" w:rsidRDefault="001D6D11" w:rsidP="00621BD6">
      <w:pPr>
        <w:spacing w:after="0" w:line="240" w:lineRule="auto"/>
      </w:pPr>
      <w:r>
        <w:separator/>
      </w:r>
    </w:p>
  </w:endnote>
  <w:endnote w:type="continuationSeparator" w:id="0">
    <w:p w:rsidR="001D6D11" w:rsidRDefault="001D6D11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42BBA" w:rsidRPr="00434940" w:rsidRDefault="00D42BBA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:rsidR="00D42BBA" w:rsidRPr="00621BD6" w:rsidRDefault="00D42BBA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11" w:rsidRDefault="001D6D11" w:rsidP="00621BD6">
      <w:pPr>
        <w:spacing w:after="0" w:line="240" w:lineRule="auto"/>
      </w:pPr>
      <w:r>
        <w:separator/>
      </w:r>
    </w:p>
  </w:footnote>
  <w:footnote w:type="continuationSeparator" w:id="0">
    <w:p w:rsidR="001D6D11" w:rsidRDefault="001D6D11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BA" w:rsidRDefault="00D42BBA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92"/>
    <w:multiLevelType w:val="hybridMultilevel"/>
    <w:tmpl w:val="E9F04F4C"/>
    <w:lvl w:ilvl="0" w:tplc="99E0BA8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1FBE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C9F6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665F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22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25A1C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E685E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6E54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C8B0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B60"/>
    <w:multiLevelType w:val="hybridMultilevel"/>
    <w:tmpl w:val="730E7D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A04A5"/>
    <w:multiLevelType w:val="hybridMultilevel"/>
    <w:tmpl w:val="B9207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77BD6"/>
    <w:multiLevelType w:val="hybridMultilevel"/>
    <w:tmpl w:val="1F160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576F"/>
    <w:multiLevelType w:val="hybridMultilevel"/>
    <w:tmpl w:val="6150C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4723E"/>
    <w:multiLevelType w:val="hybridMultilevel"/>
    <w:tmpl w:val="F0129BB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A5FD9"/>
    <w:multiLevelType w:val="hybridMultilevel"/>
    <w:tmpl w:val="AD180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57777A"/>
    <w:multiLevelType w:val="hybridMultilevel"/>
    <w:tmpl w:val="F08E21D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602906"/>
    <w:multiLevelType w:val="hybridMultilevel"/>
    <w:tmpl w:val="24AC4A36"/>
    <w:lvl w:ilvl="0" w:tplc="4AD424F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C1D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A4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6DE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95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2D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E1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00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A27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4CDB"/>
    <w:multiLevelType w:val="hybridMultilevel"/>
    <w:tmpl w:val="7408F038"/>
    <w:lvl w:ilvl="0" w:tplc="59B035E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54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B5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4040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45E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4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A8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07F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4CB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C1696"/>
    <w:multiLevelType w:val="hybridMultilevel"/>
    <w:tmpl w:val="794AA2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A3DB9"/>
    <w:multiLevelType w:val="hybridMultilevel"/>
    <w:tmpl w:val="09FEAA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21"/>
  </w:num>
  <w:num w:numId="5">
    <w:abstractNumId w:val="29"/>
  </w:num>
  <w:num w:numId="6">
    <w:abstractNumId w:val="15"/>
  </w:num>
  <w:num w:numId="7">
    <w:abstractNumId w:val="27"/>
  </w:num>
  <w:num w:numId="8">
    <w:abstractNumId w:val="30"/>
  </w:num>
  <w:num w:numId="9">
    <w:abstractNumId w:val="5"/>
  </w:num>
  <w:num w:numId="10">
    <w:abstractNumId w:val="4"/>
  </w:num>
  <w:num w:numId="11">
    <w:abstractNumId w:val="6"/>
  </w:num>
  <w:num w:numId="12">
    <w:abstractNumId w:val="22"/>
  </w:num>
  <w:num w:numId="13">
    <w:abstractNumId w:val="18"/>
  </w:num>
  <w:num w:numId="14">
    <w:abstractNumId w:val="8"/>
  </w:num>
  <w:num w:numId="15">
    <w:abstractNumId w:val="2"/>
  </w:num>
  <w:num w:numId="16">
    <w:abstractNumId w:val="9"/>
  </w:num>
  <w:num w:numId="17">
    <w:abstractNumId w:val="1"/>
  </w:num>
  <w:num w:numId="18">
    <w:abstractNumId w:val="33"/>
  </w:num>
  <w:num w:numId="19">
    <w:abstractNumId w:val="35"/>
  </w:num>
  <w:num w:numId="20">
    <w:abstractNumId w:val="10"/>
  </w:num>
  <w:num w:numId="21">
    <w:abstractNumId w:val="13"/>
  </w:num>
  <w:num w:numId="22">
    <w:abstractNumId w:val="7"/>
  </w:num>
  <w:num w:numId="23">
    <w:abstractNumId w:val="14"/>
  </w:num>
  <w:num w:numId="24">
    <w:abstractNumId w:val="0"/>
  </w:num>
  <w:num w:numId="25">
    <w:abstractNumId w:val="36"/>
  </w:num>
  <w:num w:numId="26">
    <w:abstractNumId w:val="24"/>
  </w:num>
  <w:num w:numId="27">
    <w:abstractNumId w:val="23"/>
  </w:num>
  <w:num w:numId="28">
    <w:abstractNumId w:val="16"/>
  </w:num>
  <w:num w:numId="29">
    <w:abstractNumId w:val="34"/>
  </w:num>
  <w:num w:numId="30">
    <w:abstractNumId w:val="11"/>
  </w:num>
  <w:num w:numId="31">
    <w:abstractNumId w:val="19"/>
  </w:num>
  <w:num w:numId="32">
    <w:abstractNumId w:val="12"/>
  </w:num>
  <w:num w:numId="33">
    <w:abstractNumId w:val="3"/>
  </w:num>
  <w:num w:numId="34">
    <w:abstractNumId w:val="26"/>
  </w:num>
  <w:num w:numId="35">
    <w:abstractNumId w:val="28"/>
  </w:num>
  <w:num w:numId="36">
    <w:abstractNumId w:val="31"/>
  </w:num>
  <w:num w:numId="3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14113"/>
    <w:rsid w:val="00056A21"/>
    <w:rsid w:val="00062C3E"/>
    <w:rsid w:val="000722F4"/>
    <w:rsid w:val="00087002"/>
    <w:rsid w:val="000912B7"/>
    <w:rsid w:val="00097250"/>
    <w:rsid w:val="000A1B09"/>
    <w:rsid w:val="000A26C1"/>
    <w:rsid w:val="000B29C4"/>
    <w:rsid w:val="000B4435"/>
    <w:rsid w:val="000C36C6"/>
    <w:rsid w:val="000C418A"/>
    <w:rsid w:val="000C4420"/>
    <w:rsid w:val="000D33A5"/>
    <w:rsid w:val="000D50D0"/>
    <w:rsid w:val="000E5851"/>
    <w:rsid w:val="00121AB8"/>
    <w:rsid w:val="00130EFF"/>
    <w:rsid w:val="00141030"/>
    <w:rsid w:val="0014334A"/>
    <w:rsid w:val="001434A4"/>
    <w:rsid w:val="001637EA"/>
    <w:rsid w:val="00193EF9"/>
    <w:rsid w:val="001952CC"/>
    <w:rsid w:val="001A01E8"/>
    <w:rsid w:val="001A32BE"/>
    <w:rsid w:val="001A398E"/>
    <w:rsid w:val="001A6D3A"/>
    <w:rsid w:val="001D436A"/>
    <w:rsid w:val="001D6D11"/>
    <w:rsid w:val="001D774C"/>
    <w:rsid w:val="001E6088"/>
    <w:rsid w:val="001F75AC"/>
    <w:rsid w:val="002015CA"/>
    <w:rsid w:val="002020D2"/>
    <w:rsid w:val="002056D2"/>
    <w:rsid w:val="00216A1A"/>
    <w:rsid w:val="00217FDC"/>
    <w:rsid w:val="00222663"/>
    <w:rsid w:val="00223EE9"/>
    <w:rsid w:val="0024416E"/>
    <w:rsid w:val="00244A96"/>
    <w:rsid w:val="00273CE1"/>
    <w:rsid w:val="002752A2"/>
    <w:rsid w:val="00282E88"/>
    <w:rsid w:val="002944B9"/>
    <w:rsid w:val="002A6CC9"/>
    <w:rsid w:val="002B2CC7"/>
    <w:rsid w:val="002B32E4"/>
    <w:rsid w:val="002D3057"/>
    <w:rsid w:val="002E2F8A"/>
    <w:rsid w:val="002E6442"/>
    <w:rsid w:val="002F22C9"/>
    <w:rsid w:val="002F6B0C"/>
    <w:rsid w:val="0030774E"/>
    <w:rsid w:val="00314F4E"/>
    <w:rsid w:val="00324082"/>
    <w:rsid w:val="00333D2A"/>
    <w:rsid w:val="00346965"/>
    <w:rsid w:val="00353AFE"/>
    <w:rsid w:val="003654EA"/>
    <w:rsid w:val="0038282B"/>
    <w:rsid w:val="003854FE"/>
    <w:rsid w:val="003868E5"/>
    <w:rsid w:val="00387F70"/>
    <w:rsid w:val="003B2FE3"/>
    <w:rsid w:val="003C2611"/>
    <w:rsid w:val="003D3AEF"/>
    <w:rsid w:val="003E2902"/>
    <w:rsid w:val="003E7328"/>
    <w:rsid w:val="004152AD"/>
    <w:rsid w:val="0042352F"/>
    <w:rsid w:val="0042622B"/>
    <w:rsid w:val="00434940"/>
    <w:rsid w:val="00437BC1"/>
    <w:rsid w:val="00447247"/>
    <w:rsid w:val="00474CA2"/>
    <w:rsid w:val="00480A46"/>
    <w:rsid w:val="004A0CDF"/>
    <w:rsid w:val="004A1C57"/>
    <w:rsid w:val="004A44DF"/>
    <w:rsid w:val="004A65D1"/>
    <w:rsid w:val="004C25E2"/>
    <w:rsid w:val="004C6475"/>
    <w:rsid w:val="004D3C89"/>
    <w:rsid w:val="004F2997"/>
    <w:rsid w:val="004F5998"/>
    <w:rsid w:val="004F771F"/>
    <w:rsid w:val="00505481"/>
    <w:rsid w:val="00511940"/>
    <w:rsid w:val="005207E7"/>
    <w:rsid w:val="0052754F"/>
    <w:rsid w:val="00535EAC"/>
    <w:rsid w:val="0055272F"/>
    <w:rsid w:val="00564054"/>
    <w:rsid w:val="005814D4"/>
    <w:rsid w:val="0059564A"/>
    <w:rsid w:val="0059743D"/>
    <w:rsid w:val="005B21EA"/>
    <w:rsid w:val="005B6558"/>
    <w:rsid w:val="005E1B68"/>
    <w:rsid w:val="005F2085"/>
    <w:rsid w:val="005F3A24"/>
    <w:rsid w:val="005F777D"/>
    <w:rsid w:val="006002B8"/>
    <w:rsid w:val="00611A99"/>
    <w:rsid w:val="00615D46"/>
    <w:rsid w:val="00621BD6"/>
    <w:rsid w:val="006231CE"/>
    <w:rsid w:val="00625AA5"/>
    <w:rsid w:val="00627297"/>
    <w:rsid w:val="00643CD0"/>
    <w:rsid w:val="006444D2"/>
    <w:rsid w:val="0066707E"/>
    <w:rsid w:val="00673392"/>
    <w:rsid w:val="00676E8B"/>
    <w:rsid w:val="00682529"/>
    <w:rsid w:val="0069147A"/>
    <w:rsid w:val="0069297B"/>
    <w:rsid w:val="00693E37"/>
    <w:rsid w:val="0069745B"/>
    <w:rsid w:val="00697E2B"/>
    <w:rsid w:val="006A177B"/>
    <w:rsid w:val="006A5824"/>
    <w:rsid w:val="006B2C49"/>
    <w:rsid w:val="006D1AE0"/>
    <w:rsid w:val="006F4557"/>
    <w:rsid w:val="007146D4"/>
    <w:rsid w:val="00717718"/>
    <w:rsid w:val="0072090F"/>
    <w:rsid w:val="00736586"/>
    <w:rsid w:val="0076340F"/>
    <w:rsid w:val="007655B2"/>
    <w:rsid w:val="00776505"/>
    <w:rsid w:val="00784B36"/>
    <w:rsid w:val="00794618"/>
    <w:rsid w:val="007975B6"/>
    <w:rsid w:val="007B1915"/>
    <w:rsid w:val="007B753D"/>
    <w:rsid w:val="007C602B"/>
    <w:rsid w:val="007D244C"/>
    <w:rsid w:val="007F34E9"/>
    <w:rsid w:val="007F6BF8"/>
    <w:rsid w:val="00800452"/>
    <w:rsid w:val="00805F60"/>
    <w:rsid w:val="0082020D"/>
    <w:rsid w:val="0082252B"/>
    <w:rsid w:val="00823915"/>
    <w:rsid w:val="00824A08"/>
    <w:rsid w:val="00831440"/>
    <w:rsid w:val="00835A22"/>
    <w:rsid w:val="0084208F"/>
    <w:rsid w:val="00845073"/>
    <w:rsid w:val="00851200"/>
    <w:rsid w:val="00857550"/>
    <w:rsid w:val="00865E5A"/>
    <w:rsid w:val="008937A0"/>
    <w:rsid w:val="008964AA"/>
    <w:rsid w:val="00897774"/>
    <w:rsid w:val="008A0FBA"/>
    <w:rsid w:val="008B53EF"/>
    <w:rsid w:val="008C4ABC"/>
    <w:rsid w:val="008E071C"/>
    <w:rsid w:val="008E4DB6"/>
    <w:rsid w:val="008F30E0"/>
    <w:rsid w:val="00924F23"/>
    <w:rsid w:val="009446C8"/>
    <w:rsid w:val="00950C15"/>
    <w:rsid w:val="00961BA3"/>
    <w:rsid w:val="00974B27"/>
    <w:rsid w:val="00995C79"/>
    <w:rsid w:val="00995D38"/>
    <w:rsid w:val="009A54AF"/>
    <w:rsid w:val="009A633A"/>
    <w:rsid w:val="009B73D4"/>
    <w:rsid w:val="009B78CA"/>
    <w:rsid w:val="009C2191"/>
    <w:rsid w:val="009C3CAE"/>
    <w:rsid w:val="009D1F57"/>
    <w:rsid w:val="009E259B"/>
    <w:rsid w:val="009E2D30"/>
    <w:rsid w:val="009E7258"/>
    <w:rsid w:val="00A15147"/>
    <w:rsid w:val="00A55A4A"/>
    <w:rsid w:val="00A56484"/>
    <w:rsid w:val="00A71739"/>
    <w:rsid w:val="00A924D9"/>
    <w:rsid w:val="00A93B41"/>
    <w:rsid w:val="00AA19A4"/>
    <w:rsid w:val="00AE09D3"/>
    <w:rsid w:val="00AE6B0D"/>
    <w:rsid w:val="00B02A16"/>
    <w:rsid w:val="00B04590"/>
    <w:rsid w:val="00B22CAE"/>
    <w:rsid w:val="00B22FDE"/>
    <w:rsid w:val="00B375F1"/>
    <w:rsid w:val="00B41165"/>
    <w:rsid w:val="00B42086"/>
    <w:rsid w:val="00B4240D"/>
    <w:rsid w:val="00B52A4A"/>
    <w:rsid w:val="00B70E92"/>
    <w:rsid w:val="00B835B9"/>
    <w:rsid w:val="00BB3763"/>
    <w:rsid w:val="00BC5AB0"/>
    <w:rsid w:val="00BD4092"/>
    <w:rsid w:val="00BE06FC"/>
    <w:rsid w:val="00C0149C"/>
    <w:rsid w:val="00C04A83"/>
    <w:rsid w:val="00C146DE"/>
    <w:rsid w:val="00C22858"/>
    <w:rsid w:val="00C2566E"/>
    <w:rsid w:val="00C352BC"/>
    <w:rsid w:val="00C37ED1"/>
    <w:rsid w:val="00C4645F"/>
    <w:rsid w:val="00C62EEB"/>
    <w:rsid w:val="00C777AB"/>
    <w:rsid w:val="00C84F5E"/>
    <w:rsid w:val="00C97368"/>
    <w:rsid w:val="00CA4017"/>
    <w:rsid w:val="00CB1DBC"/>
    <w:rsid w:val="00CF183A"/>
    <w:rsid w:val="00CF245E"/>
    <w:rsid w:val="00CF6528"/>
    <w:rsid w:val="00D11DE9"/>
    <w:rsid w:val="00D1531D"/>
    <w:rsid w:val="00D368D0"/>
    <w:rsid w:val="00D42BBA"/>
    <w:rsid w:val="00D52069"/>
    <w:rsid w:val="00D53654"/>
    <w:rsid w:val="00D84FA3"/>
    <w:rsid w:val="00DA36D3"/>
    <w:rsid w:val="00DB2B08"/>
    <w:rsid w:val="00DB45AF"/>
    <w:rsid w:val="00DC0D8B"/>
    <w:rsid w:val="00DF3380"/>
    <w:rsid w:val="00E0415D"/>
    <w:rsid w:val="00E367AD"/>
    <w:rsid w:val="00E42998"/>
    <w:rsid w:val="00E42D46"/>
    <w:rsid w:val="00E448DC"/>
    <w:rsid w:val="00E513CD"/>
    <w:rsid w:val="00E67F1B"/>
    <w:rsid w:val="00E7151F"/>
    <w:rsid w:val="00EA3DE4"/>
    <w:rsid w:val="00ED6A25"/>
    <w:rsid w:val="00F00CC1"/>
    <w:rsid w:val="00F03BEC"/>
    <w:rsid w:val="00F236ED"/>
    <w:rsid w:val="00F3200D"/>
    <w:rsid w:val="00F358F0"/>
    <w:rsid w:val="00F41FEB"/>
    <w:rsid w:val="00F42F0A"/>
    <w:rsid w:val="00F522DC"/>
    <w:rsid w:val="00F538C4"/>
    <w:rsid w:val="00F74276"/>
    <w:rsid w:val="00F872CE"/>
    <w:rsid w:val="00F92C53"/>
    <w:rsid w:val="00F97A0E"/>
    <w:rsid w:val="00FC68B5"/>
    <w:rsid w:val="00FE2991"/>
    <w:rsid w:val="00FE4BCE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table" w:customStyle="1" w:styleId="TableGrid">
    <w:name w:val="TableGrid"/>
    <w:rsid w:val="00B70E9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.matejkova@mk.g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gov.cz/logo-a-znelka-cs-11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red.fs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7B9E-0977-4BD2-95ED-3B490320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4642</Words>
  <Characters>27393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Havlíčková Gabriela</cp:lastModifiedBy>
  <cp:revision>17</cp:revision>
  <dcterms:created xsi:type="dcterms:W3CDTF">2025-07-28T07:27:00Z</dcterms:created>
  <dcterms:modified xsi:type="dcterms:W3CDTF">2025-08-05T05:59:00Z</dcterms:modified>
</cp:coreProperties>
</file>