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89" w:rsidRPr="00382B3C" w:rsidRDefault="0050675F" w:rsidP="00295D27">
      <w:pPr>
        <w:spacing w:after="240" w:line="259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</w:rPr>
      </w:pPr>
      <w:r w:rsidRPr="00382B3C">
        <w:rPr>
          <w:rFonts w:asciiTheme="minorHAnsi" w:hAnsiTheme="minorHAnsi" w:cstheme="minorHAnsi"/>
          <w:b/>
          <w:color w:val="auto"/>
        </w:rPr>
        <w:t xml:space="preserve">Výzva č. </w:t>
      </w:r>
      <w:r w:rsidR="00B43D42" w:rsidRPr="00382B3C">
        <w:rPr>
          <w:rFonts w:asciiTheme="minorHAnsi" w:hAnsiTheme="minorHAnsi" w:cstheme="minorHAnsi"/>
          <w:b/>
          <w:color w:val="auto"/>
        </w:rPr>
        <w:t>157</w:t>
      </w:r>
      <w:r w:rsidR="008F34CD" w:rsidRPr="00382B3C">
        <w:rPr>
          <w:rFonts w:asciiTheme="minorHAnsi" w:hAnsiTheme="minorHAnsi" w:cstheme="minorHAnsi"/>
          <w:b/>
          <w:color w:val="auto"/>
        </w:rPr>
        <w:t>1</w:t>
      </w:r>
    </w:p>
    <w:p w:rsidR="00203B3D" w:rsidRPr="00382B3C" w:rsidRDefault="0050675F" w:rsidP="006A3D7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</w:rPr>
      </w:pPr>
      <w:bookmarkStart w:id="0" w:name="_Hlk202962515"/>
      <w:r w:rsidRPr="00382B3C">
        <w:rPr>
          <w:rFonts w:asciiTheme="minorHAnsi" w:hAnsiTheme="minorHAnsi" w:cstheme="minorHAnsi"/>
          <w:b/>
          <w:color w:val="auto"/>
        </w:rPr>
        <w:t xml:space="preserve"> </w:t>
      </w:r>
      <w:bookmarkEnd w:id="0"/>
      <w:r w:rsidR="002C0F10" w:rsidRPr="00382B3C">
        <w:rPr>
          <w:rFonts w:asciiTheme="minorHAnsi" w:hAnsiTheme="minorHAnsi" w:cstheme="minorHAnsi"/>
          <w:b/>
          <w:color w:val="auto"/>
        </w:rPr>
        <w:t>Podpora kulturních aktivit příslušníků národnostních menšin žijících v České republice</w:t>
      </w:r>
    </w:p>
    <w:p w:rsidR="00852694" w:rsidRPr="00382B3C" w:rsidRDefault="00852694" w:rsidP="006A3D7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</w:p>
    <w:p w:rsidR="00203B3D" w:rsidRPr="00382B3C" w:rsidRDefault="0050675F" w:rsidP="00D66DC7">
      <w:pPr>
        <w:spacing w:after="0" w:line="259" w:lineRule="auto"/>
        <w:ind w:left="0" w:right="6" w:firstLine="0"/>
        <w:jc w:val="center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k předkládání žádostí o poskytnutí dotace v</w:t>
      </w:r>
      <w:r w:rsidR="007D106A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programu</w:t>
      </w:r>
      <w:r w:rsidR="007D106A" w:rsidRPr="00382B3C">
        <w:rPr>
          <w:rFonts w:asciiTheme="minorHAnsi" w:hAnsiTheme="minorHAnsi" w:cstheme="minorHAnsi"/>
          <w:color w:val="auto"/>
        </w:rPr>
        <w:t xml:space="preserve"> na</w:t>
      </w:r>
      <w:r w:rsidRPr="00382B3C">
        <w:rPr>
          <w:rFonts w:asciiTheme="minorHAnsi" w:hAnsiTheme="minorHAnsi" w:cstheme="minorHAnsi"/>
          <w:color w:val="auto"/>
        </w:rPr>
        <w:t xml:space="preserve"> </w:t>
      </w:r>
      <w:r w:rsidR="002C0F10" w:rsidRPr="00382B3C">
        <w:rPr>
          <w:rFonts w:asciiTheme="minorHAnsi" w:hAnsiTheme="minorHAnsi" w:cstheme="minorHAnsi"/>
          <w:color w:val="auto"/>
        </w:rPr>
        <w:t>podpor</w:t>
      </w:r>
      <w:r w:rsidR="007D106A" w:rsidRPr="00382B3C">
        <w:rPr>
          <w:rFonts w:asciiTheme="minorHAnsi" w:hAnsiTheme="minorHAnsi" w:cstheme="minorHAnsi"/>
          <w:color w:val="auto"/>
        </w:rPr>
        <w:t>u</w:t>
      </w:r>
      <w:r w:rsidR="002C0F10" w:rsidRPr="00382B3C">
        <w:rPr>
          <w:rFonts w:asciiTheme="minorHAnsi" w:hAnsiTheme="minorHAnsi" w:cstheme="minorHAnsi"/>
          <w:color w:val="auto"/>
        </w:rPr>
        <w:t xml:space="preserve"> kulturních aktivit příslušníků národnostních menšin žijících v České republice</w:t>
      </w:r>
    </w:p>
    <w:p w:rsidR="00852694" w:rsidRPr="00382B3C" w:rsidRDefault="00852694" w:rsidP="00D66DC7">
      <w:pPr>
        <w:spacing w:after="0" w:line="259" w:lineRule="auto"/>
        <w:ind w:left="0" w:right="6" w:firstLine="0"/>
        <w:jc w:val="center"/>
        <w:rPr>
          <w:rFonts w:asciiTheme="minorHAnsi" w:hAnsiTheme="minorHAnsi" w:cstheme="minorHAnsi"/>
          <w:color w:val="auto"/>
        </w:rPr>
      </w:pPr>
    </w:p>
    <w:p w:rsidR="00DD667A" w:rsidRPr="00382B3C" w:rsidRDefault="00036D6E" w:rsidP="00F54FC7">
      <w:pPr>
        <w:spacing w:after="240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Ministerstvo kultury ČR (dále jen „MKČR“) vyhlašuje podle zákona č. 218/2000 Sb., o rozpočtových pravidlech a o změně některých souvisejících zákonů (rozpočtová pravidla), v platném znění (dále jen „rozpočtová pravidla“), </w:t>
      </w:r>
      <w:r w:rsidR="00F54FC7" w:rsidRPr="00382B3C">
        <w:rPr>
          <w:rFonts w:asciiTheme="minorHAnsi" w:hAnsiTheme="minorHAnsi" w:cstheme="minorHAnsi"/>
          <w:color w:val="auto"/>
        </w:rPr>
        <w:t>a v souladu s nařízením vlády č. 98/2002 Sb., kterým se stanoví podmínky a způsob poskytování dotací ze státního rozpočtu na aktivity příslušníků národnostních menšin a</w:t>
      </w:r>
      <w:r w:rsidR="00DA162A" w:rsidRPr="00382B3C">
        <w:rPr>
          <w:rFonts w:asciiTheme="minorHAnsi" w:hAnsiTheme="minorHAnsi" w:cstheme="minorHAnsi"/>
          <w:color w:val="auto"/>
        </w:rPr>
        <w:t> </w:t>
      </w:r>
      <w:r w:rsidR="00F54FC7" w:rsidRPr="00382B3C">
        <w:rPr>
          <w:rFonts w:asciiTheme="minorHAnsi" w:hAnsiTheme="minorHAnsi" w:cstheme="minorHAnsi"/>
          <w:color w:val="auto"/>
        </w:rPr>
        <w:t>na</w:t>
      </w:r>
      <w:r w:rsidR="00DA162A" w:rsidRPr="00382B3C">
        <w:rPr>
          <w:rFonts w:asciiTheme="minorHAnsi" w:hAnsiTheme="minorHAnsi" w:cstheme="minorHAnsi"/>
          <w:color w:val="auto"/>
        </w:rPr>
        <w:t> </w:t>
      </w:r>
      <w:r w:rsidR="00F54FC7" w:rsidRPr="00382B3C">
        <w:rPr>
          <w:rFonts w:asciiTheme="minorHAnsi" w:hAnsiTheme="minorHAnsi" w:cstheme="minorHAnsi"/>
          <w:color w:val="auto"/>
        </w:rPr>
        <w:t xml:space="preserve">podporu integrace příslušníků romské komunity, v platném znění, </w:t>
      </w:r>
      <w:r w:rsidRPr="00382B3C">
        <w:rPr>
          <w:rFonts w:asciiTheme="minorHAnsi" w:hAnsiTheme="minorHAnsi" w:cstheme="minorHAnsi"/>
          <w:color w:val="auto"/>
        </w:rPr>
        <w:t>výzvu k předkládání žádostí o</w:t>
      </w:r>
      <w:r w:rsidR="00F54FC7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poskytnutí dotace (dále jen „výzva“).</w:t>
      </w:r>
    </w:p>
    <w:p w:rsidR="006F0656" w:rsidRPr="00382B3C" w:rsidRDefault="006F0656" w:rsidP="006F0656">
      <w:pPr>
        <w:spacing w:after="0"/>
        <w:rPr>
          <w:rFonts w:asciiTheme="minorHAnsi" w:hAnsiTheme="minorHAnsi" w:cstheme="minorHAnsi"/>
        </w:rPr>
      </w:pPr>
      <w:r w:rsidRPr="00EB3D83">
        <w:rPr>
          <w:rFonts w:asciiTheme="minorHAnsi" w:hAnsiTheme="minorHAnsi" w:cstheme="minorHAnsi"/>
          <w:b/>
        </w:rPr>
        <w:t>Určení výběrového dotačního řízení:</w:t>
      </w:r>
      <w:r w:rsidRPr="00EB3D83">
        <w:rPr>
          <w:rFonts w:asciiTheme="minorHAnsi" w:hAnsiTheme="minorHAnsi" w:cstheme="minorHAnsi"/>
        </w:rPr>
        <w:t xml:space="preserve"> fyzické osoby a právnické osoby registrované nebo založené do 31. 12. 2024 vyjma státních příspěvkových organizací zřizovaných Ministerstvem kultury.</w:t>
      </w:r>
    </w:p>
    <w:p w:rsidR="006F0656" w:rsidRPr="00382B3C" w:rsidRDefault="006F0656" w:rsidP="00F54FC7">
      <w:pPr>
        <w:spacing w:after="240" w:line="259" w:lineRule="auto"/>
        <w:ind w:left="0" w:right="0" w:firstLine="0"/>
        <w:rPr>
          <w:rFonts w:asciiTheme="minorHAnsi" w:hAnsiTheme="minorHAnsi" w:cstheme="minorHAnsi"/>
          <w:color w:val="auto"/>
        </w:rPr>
      </w:pPr>
    </w:p>
    <w:p w:rsidR="00852694" w:rsidRPr="00382B3C" w:rsidRDefault="00852694" w:rsidP="00F54FC7">
      <w:pPr>
        <w:spacing w:after="240" w:line="259" w:lineRule="auto"/>
        <w:ind w:left="0" w:right="0" w:firstLine="0"/>
        <w:rPr>
          <w:rFonts w:asciiTheme="minorHAnsi" w:hAnsiTheme="minorHAnsi" w:cstheme="minorHAnsi"/>
          <w:color w:val="auto"/>
        </w:rPr>
      </w:pPr>
    </w:p>
    <w:p w:rsidR="00203B3D" w:rsidRPr="00D16C81" w:rsidRDefault="0050675F" w:rsidP="009343DF">
      <w:pPr>
        <w:jc w:val="center"/>
        <w:rPr>
          <w:rFonts w:asciiTheme="minorHAnsi" w:hAnsiTheme="minorHAnsi" w:cstheme="minorHAnsi"/>
          <w:b/>
          <w:color w:val="FF0000"/>
        </w:rPr>
      </w:pPr>
      <w:r w:rsidRPr="00D16C81">
        <w:rPr>
          <w:rFonts w:asciiTheme="minorHAnsi" w:hAnsiTheme="minorHAnsi" w:cstheme="minorHAnsi"/>
          <w:b/>
          <w:color w:val="FF0000"/>
        </w:rPr>
        <w:t xml:space="preserve">Termín uzávěrky příjmu žádostí: </w:t>
      </w:r>
      <w:r w:rsidR="006A3D77" w:rsidRPr="00D16C81">
        <w:rPr>
          <w:rFonts w:asciiTheme="minorHAnsi" w:hAnsiTheme="minorHAnsi" w:cstheme="minorHAnsi"/>
          <w:b/>
          <w:color w:val="FF0000"/>
        </w:rPr>
        <w:t>30</w:t>
      </w:r>
      <w:r w:rsidRPr="00D16C81">
        <w:rPr>
          <w:rFonts w:asciiTheme="minorHAnsi" w:hAnsiTheme="minorHAnsi" w:cstheme="minorHAnsi"/>
          <w:b/>
          <w:color w:val="FF0000"/>
        </w:rPr>
        <w:t>.</w:t>
      </w:r>
      <w:r w:rsidR="006A3D77" w:rsidRPr="00D16C81">
        <w:rPr>
          <w:rFonts w:asciiTheme="minorHAnsi" w:hAnsiTheme="minorHAnsi" w:cstheme="minorHAnsi"/>
          <w:b/>
          <w:color w:val="FF0000"/>
        </w:rPr>
        <w:t>09</w:t>
      </w:r>
      <w:r w:rsidRPr="00D16C81">
        <w:rPr>
          <w:rFonts w:asciiTheme="minorHAnsi" w:hAnsiTheme="minorHAnsi" w:cstheme="minorHAnsi"/>
          <w:b/>
          <w:color w:val="FF0000"/>
        </w:rPr>
        <w:t>.202</w:t>
      </w:r>
      <w:r w:rsidR="006A3D77" w:rsidRPr="00D16C81">
        <w:rPr>
          <w:rFonts w:asciiTheme="minorHAnsi" w:hAnsiTheme="minorHAnsi" w:cstheme="minorHAnsi"/>
          <w:b/>
          <w:color w:val="FF0000"/>
        </w:rPr>
        <w:t>5</w:t>
      </w:r>
      <w:r w:rsidRPr="00D16C81">
        <w:rPr>
          <w:rFonts w:asciiTheme="minorHAnsi" w:hAnsiTheme="minorHAnsi" w:cstheme="minorHAnsi"/>
          <w:b/>
          <w:color w:val="FF0000"/>
        </w:rPr>
        <w:t xml:space="preserve"> (15:00 hod.)</w:t>
      </w:r>
    </w:p>
    <w:p w:rsidR="009343DF" w:rsidRPr="00382B3C" w:rsidRDefault="009343DF" w:rsidP="009343DF">
      <w:pPr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060" w:type="dxa"/>
        <w:tblInd w:w="7" w:type="dxa"/>
        <w:tblCellMar>
          <w:top w:w="48" w:type="dxa"/>
          <w:left w:w="108" w:type="dxa"/>
          <w:right w:w="316" w:type="dxa"/>
        </w:tblCellMar>
        <w:tblLook w:val="04A0" w:firstRow="1" w:lastRow="0" w:firstColumn="1" w:lastColumn="0" w:noHBand="0" w:noVBand="1"/>
      </w:tblPr>
      <w:tblGrid>
        <w:gridCol w:w="2402"/>
        <w:gridCol w:w="6658"/>
      </w:tblGrid>
      <w:tr w:rsidR="00203B3D" w:rsidRPr="00382B3C">
        <w:trPr>
          <w:trHeight w:val="27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>Číslo výzvy: (</w:t>
            </w:r>
            <w:r w:rsidR="003836FD">
              <w:rPr>
                <w:rFonts w:asciiTheme="minorHAnsi" w:hAnsiTheme="minorHAnsi" w:cstheme="minorHAnsi"/>
                <w:b/>
                <w:color w:val="auto"/>
              </w:rPr>
              <w:t>1571</w:t>
            </w: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) </w:t>
            </w:r>
          </w:p>
        </w:tc>
        <w:tc>
          <w:tcPr>
            <w:tcW w:w="6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03B3D" w:rsidRPr="00382B3C" w:rsidRDefault="00203B3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03B3D" w:rsidRPr="00382B3C">
        <w:trPr>
          <w:trHeight w:val="2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Název výzvy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2C0F10" w:rsidP="006A3D77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Podpora kulturních aktivit příslušníků národnostních menšin žijících v České republice</w:t>
            </w:r>
          </w:p>
        </w:tc>
      </w:tr>
      <w:tr w:rsidR="00203B3D" w:rsidRPr="00382B3C">
        <w:trPr>
          <w:trHeight w:val="27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Program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7D106A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na p</w:t>
            </w:r>
            <w:r w:rsidR="002C0F10" w:rsidRPr="00382B3C">
              <w:rPr>
                <w:rFonts w:asciiTheme="minorHAnsi" w:hAnsiTheme="minorHAnsi" w:cstheme="minorHAnsi"/>
                <w:color w:val="auto"/>
              </w:rPr>
              <w:t>odpor</w:t>
            </w:r>
            <w:r w:rsidRPr="00382B3C">
              <w:rPr>
                <w:rFonts w:asciiTheme="minorHAnsi" w:hAnsiTheme="minorHAnsi" w:cstheme="minorHAnsi"/>
                <w:color w:val="auto"/>
              </w:rPr>
              <w:t>u</w:t>
            </w:r>
            <w:r w:rsidR="002C0F10" w:rsidRPr="00382B3C">
              <w:rPr>
                <w:rFonts w:asciiTheme="minorHAnsi" w:hAnsiTheme="minorHAnsi" w:cstheme="minorHAnsi"/>
                <w:color w:val="auto"/>
              </w:rPr>
              <w:t xml:space="preserve"> kulturních aktivit příslušníků národnostních menšin žijících v České republice</w:t>
            </w:r>
          </w:p>
        </w:tc>
      </w:tr>
      <w:tr w:rsidR="00203B3D" w:rsidRPr="00382B3C">
        <w:trPr>
          <w:trHeight w:val="54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Termín pro podávání žádostí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3" w:right="0" w:firstLine="0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Žádosti lze podat v období </w:t>
            </w:r>
            <w:r w:rsidR="00851BD8" w:rsidRPr="00165083">
              <w:rPr>
                <w:rFonts w:asciiTheme="minorHAnsi" w:hAnsiTheme="minorHAnsi" w:cstheme="minorHAnsi"/>
                <w:color w:val="FF0000"/>
              </w:rPr>
              <w:t>29.08.</w:t>
            </w:r>
            <w:r w:rsidRPr="00165083">
              <w:rPr>
                <w:rFonts w:asciiTheme="minorHAnsi" w:hAnsiTheme="minorHAnsi" w:cstheme="minorHAnsi"/>
                <w:color w:val="FF0000"/>
              </w:rPr>
              <w:t xml:space="preserve"> – </w:t>
            </w:r>
            <w:r w:rsidR="006A3D77" w:rsidRPr="00165083">
              <w:rPr>
                <w:rFonts w:asciiTheme="minorHAnsi" w:hAnsiTheme="minorHAnsi" w:cstheme="minorHAnsi"/>
                <w:color w:val="FF0000"/>
              </w:rPr>
              <w:t>30</w:t>
            </w:r>
            <w:r w:rsidRPr="00527766">
              <w:rPr>
                <w:rFonts w:asciiTheme="minorHAnsi" w:hAnsiTheme="minorHAnsi" w:cstheme="minorHAnsi"/>
                <w:color w:val="FF0000"/>
              </w:rPr>
              <w:t>.</w:t>
            </w:r>
            <w:r w:rsidR="006A3D77" w:rsidRPr="00527766">
              <w:rPr>
                <w:rFonts w:asciiTheme="minorHAnsi" w:hAnsiTheme="minorHAnsi" w:cstheme="minorHAnsi"/>
                <w:color w:val="FF0000"/>
              </w:rPr>
              <w:t>09</w:t>
            </w:r>
            <w:r w:rsidRPr="00527766">
              <w:rPr>
                <w:rFonts w:asciiTheme="minorHAnsi" w:hAnsiTheme="minorHAnsi" w:cstheme="minorHAnsi"/>
                <w:color w:val="FF0000"/>
              </w:rPr>
              <w:t>.202</w:t>
            </w:r>
            <w:r w:rsidR="006A3D77" w:rsidRPr="00527766">
              <w:rPr>
                <w:rFonts w:asciiTheme="minorHAnsi" w:hAnsiTheme="minorHAnsi" w:cstheme="minorHAnsi"/>
                <w:color w:val="FF0000"/>
              </w:rPr>
              <w:t>5</w:t>
            </w:r>
            <w:r w:rsidRPr="0052776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6A3D77" w:rsidRPr="00527766">
              <w:rPr>
                <w:rFonts w:asciiTheme="minorHAnsi" w:hAnsiTheme="minorHAnsi" w:cstheme="minorHAnsi"/>
                <w:color w:val="FF0000"/>
              </w:rPr>
              <w:t xml:space="preserve">do </w:t>
            </w:r>
            <w:r w:rsidRPr="00527766">
              <w:rPr>
                <w:rFonts w:asciiTheme="minorHAnsi" w:hAnsiTheme="minorHAnsi" w:cstheme="minorHAnsi"/>
                <w:color w:val="FF0000"/>
              </w:rPr>
              <w:t xml:space="preserve">15:00 hod. </w:t>
            </w:r>
          </w:p>
        </w:tc>
      </w:tr>
      <w:tr w:rsidR="00203B3D" w:rsidRPr="00382B3C">
        <w:trPr>
          <w:trHeight w:val="54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Období realizace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Podpořené projekty lze realizovat v období mezi 01.01.202</w:t>
            </w:r>
            <w:r w:rsidR="006A3D77" w:rsidRPr="00382B3C">
              <w:rPr>
                <w:rFonts w:asciiTheme="minorHAnsi" w:hAnsiTheme="minorHAnsi" w:cstheme="minorHAnsi"/>
                <w:color w:val="auto"/>
              </w:rPr>
              <w:t>6</w:t>
            </w:r>
            <w:r w:rsidRPr="00382B3C">
              <w:rPr>
                <w:rFonts w:asciiTheme="minorHAnsi" w:hAnsiTheme="minorHAnsi" w:cstheme="minorHAnsi"/>
                <w:color w:val="auto"/>
              </w:rPr>
              <w:t xml:space="preserve"> až </w:t>
            </w:r>
          </w:p>
          <w:p w:rsidR="00203B3D" w:rsidRPr="00382B3C" w:rsidRDefault="0050675F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31.12.202</w:t>
            </w:r>
            <w:r w:rsidR="006A3D77" w:rsidRPr="00382B3C">
              <w:rPr>
                <w:rFonts w:asciiTheme="minorHAnsi" w:hAnsiTheme="minorHAnsi" w:cstheme="minorHAnsi"/>
                <w:color w:val="auto"/>
              </w:rPr>
              <w:t>6</w:t>
            </w:r>
            <w:r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203B3D" w:rsidRPr="00382B3C">
        <w:trPr>
          <w:trHeight w:val="27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Garant výzvy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3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Odbor </w:t>
            </w:r>
            <w:r w:rsidR="006A3D77" w:rsidRPr="00382B3C">
              <w:rPr>
                <w:rFonts w:asciiTheme="minorHAnsi" w:hAnsiTheme="minorHAnsi" w:cstheme="minorHAnsi"/>
                <w:color w:val="auto"/>
              </w:rPr>
              <w:t>regionální a národnostní kultury</w:t>
            </w:r>
            <w:r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:rsidR="00295D27" w:rsidRPr="00382B3C" w:rsidRDefault="00295D27">
      <w:pPr>
        <w:pStyle w:val="Nadpis1"/>
        <w:rPr>
          <w:rFonts w:asciiTheme="minorHAnsi" w:hAnsiTheme="minorHAnsi" w:cstheme="minorHAnsi"/>
          <w:color w:val="auto"/>
          <w:sz w:val="22"/>
        </w:rPr>
      </w:pPr>
    </w:p>
    <w:p w:rsidR="008A22B2" w:rsidRPr="00382B3C" w:rsidRDefault="008A22B2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</w:rPr>
        <w:id w:val="1470478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343DF" w:rsidRPr="00382B3C" w:rsidRDefault="009343DF">
          <w:pPr>
            <w:pStyle w:val="Nadpisobsahu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382B3C">
            <w:rPr>
              <w:rFonts w:asciiTheme="minorHAnsi" w:hAnsiTheme="minorHAnsi" w:cstheme="minorHAnsi"/>
              <w:color w:val="auto"/>
              <w:sz w:val="22"/>
              <w:szCs w:val="22"/>
            </w:rPr>
            <w:t>Obsah</w:t>
          </w:r>
        </w:p>
        <w:p w:rsidR="00E333B1" w:rsidRPr="00382B3C" w:rsidRDefault="009343DF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r w:rsidRPr="00382B3C">
            <w:rPr>
              <w:rFonts w:asciiTheme="minorHAnsi" w:hAnsiTheme="minorHAnsi" w:cstheme="minorHAnsi"/>
              <w:color w:val="auto"/>
            </w:rPr>
            <w:fldChar w:fldCharType="begin"/>
          </w:r>
          <w:r w:rsidRPr="00382B3C">
            <w:rPr>
              <w:rFonts w:asciiTheme="minorHAnsi" w:hAnsiTheme="minorHAnsi" w:cstheme="minorHAnsi"/>
              <w:color w:val="auto"/>
            </w:rPr>
            <w:instrText xml:space="preserve"> TOC \o "1-3" \h \z \u </w:instrText>
          </w:r>
          <w:r w:rsidRPr="00382B3C">
            <w:rPr>
              <w:rFonts w:asciiTheme="minorHAnsi" w:hAnsiTheme="minorHAnsi" w:cstheme="minorHAnsi"/>
              <w:color w:val="auto"/>
            </w:rPr>
            <w:fldChar w:fldCharType="separate"/>
          </w:r>
          <w:hyperlink w:anchor="_Toc203367673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1. Cíl výzvy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_Toc203367673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74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2. Oprávnění žadatelé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_Toc203367674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75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3. Popis podporovaných aktivit – tematické okruhy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_Toc203367675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76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4. Forma a výše podpory a zdroje financování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_Toc203367676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77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5. Harmonogram výzvy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_Toc203367677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78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6. Podání žádosti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_Toc203367678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79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7. Povinné náležitosti žádosti o dotaci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_Toc203367679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2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0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7.1. Žádost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_Toc203367680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2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1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7.2. Povinné přílohy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_Toc203367681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2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2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7.3. Čestné prohlášení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_Toc203367682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3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8. Období a místo realizace projektu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_Toc203367683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4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9. Způsobilé náklady a příjmy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_Toc203367684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5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10. Nezpůsobilé náklady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_Toc203367685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6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11. Formální kontrola žádosti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_Toc203367686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7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12. Hodnocení odbornou komisí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_Toc203367687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2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8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12.1. Hodnotící kritéria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_Toc203367688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89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13. Zveřejnění výsledků výběrového dotačního řízení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_Toc203367689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90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14. Změny projektu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_Toc203367690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91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15. Vyúčtování a finanční kontrola přidělené dotace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_Toc203367691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92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16. Publicita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_Toc203367692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93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17. Další podmínky poskytnutí dotace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_Toc203367693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94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18. Obecné zásady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_Toc203367694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333B1" w:rsidRPr="00382B3C" w:rsidRDefault="003A0088">
          <w:pPr>
            <w:pStyle w:val="Obsah1"/>
            <w:tabs>
              <w:tab w:val="right" w:leader="dot" w:pos="906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203367695" w:history="1">
            <w:r w:rsidR="00E333B1" w:rsidRPr="00382B3C">
              <w:rPr>
                <w:rStyle w:val="Hypertextovodkaz"/>
                <w:rFonts w:asciiTheme="minorHAnsi" w:hAnsiTheme="minorHAnsi" w:cstheme="minorHAnsi"/>
                <w:noProof/>
              </w:rPr>
              <w:t>19. Kontakty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instrText xml:space="preserve"> PAGEREF _Toc203367695 \h </w:instrTex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92EDB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E333B1" w:rsidRPr="00382B3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343DF" w:rsidRPr="00382B3C" w:rsidRDefault="009343DF">
          <w:pPr>
            <w:rPr>
              <w:rFonts w:asciiTheme="minorHAnsi" w:hAnsiTheme="minorHAnsi" w:cstheme="minorHAnsi"/>
              <w:color w:val="auto"/>
            </w:rPr>
          </w:pPr>
          <w:r w:rsidRPr="00382B3C">
            <w:rPr>
              <w:rFonts w:asciiTheme="minorHAnsi" w:hAnsiTheme="minorHAnsi" w:cstheme="minorHAnsi"/>
              <w:b/>
              <w:bCs/>
              <w:color w:val="auto"/>
            </w:rPr>
            <w:fldChar w:fldCharType="end"/>
          </w:r>
        </w:p>
      </w:sdtContent>
    </w:sdt>
    <w:p w:rsidR="00203B3D" w:rsidRPr="00382B3C" w:rsidRDefault="00203B3D" w:rsidP="009343DF">
      <w:pPr>
        <w:spacing w:after="60" w:line="259" w:lineRule="auto"/>
        <w:ind w:right="0"/>
        <w:rPr>
          <w:rFonts w:asciiTheme="minorHAnsi" w:hAnsiTheme="minorHAnsi" w:cstheme="minorHAnsi"/>
          <w:color w:val="auto"/>
        </w:rPr>
      </w:pPr>
    </w:p>
    <w:p w:rsidR="00203B3D" w:rsidRPr="00382B3C" w:rsidRDefault="0050675F" w:rsidP="009D2C4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   </w:t>
      </w:r>
    </w:p>
    <w:p w:rsidR="008A22B2" w:rsidRPr="00382B3C" w:rsidRDefault="008A22B2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br w:type="page"/>
      </w:r>
    </w:p>
    <w:p w:rsidR="00203B3D" w:rsidRPr="00F70D27" w:rsidRDefault="0050675F" w:rsidP="004000DD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1" w:name="_Toc203367673"/>
      <w:r w:rsidRPr="00F70D27">
        <w:rPr>
          <w:rFonts w:asciiTheme="minorHAnsi" w:hAnsiTheme="minorHAnsi" w:cstheme="minorHAnsi"/>
          <w:sz w:val="24"/>
          <w:szCs w:val="24"/>
        </w:rPr>
        <w:lastRenderedPageBreak/>
        <w:t>1. Cíl výzvy</w:t>
      </w:r>
      <w:bookmarkEnd w:id="1"/>
      <w:r w:rsidRPr="00F70D27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03B3D" w:rsidRPr="00382B3C" w:rsidRDefault="003D597C" w:rsidP="00745FB1">
      <w:pPr>
        <w:spacing w:after="0"/>
        <w:ind w:right="0"/>
        <w:rPr>
          <w:rFonts w:asciiTheme="minorHAnsi" w:hAnsiTheme="minorHAnsi" w:cstheme="minorHAnsi"/>
          <w:b/>
          <w:color w:val="auto"/>
        </w:rPr>
      </w:pPr>
      <w:r w:rsidRPr="00382B3C">
        <w:rPr>
          <w:rFonts w:asciiTheme="minorHAnsi" w:hAnsiTheme="minorHAnsi" w:cstheme="minorHAnsi"/>
          <w:color w:val="auto"/>
        </w:rPr>
        <w:t>Cílem</w:t>
      </w:r>
      <w:r w:rsidR="0050675F" w:rsidRPr="00382B3C">
        <w:rPr>
          <w:rFonts w:asciiTheme="minorHAnsi" w:hAnsiTheme="minorHAnsi" w:cstheme="minorHAnsi"/>
          <w:color w:val="auto"/>
        </w:rPr>
        <w:t xml:space="preserve"> výběrového dotačního řízení je </w:t>
      </w:r>
      <w:r w:rsidR="003437AC" w:rsidRPr="00382B3C">
        <w:rPr>
          <w:rFonts w:asciiTheme="minorHAnsi" w:hAnsiTheme="minorHAnsi" w:cstheme="minorHAnsi"/>
          <w:color w:val="auto"/>
        </w:rPr>
        <w:t>podpora</w:t>
      </w:r>
      <w:r w:rsidR="0050675F" w:rsidRPr="00382B3C">
        <w:rPr>
          <w:rFonts w:asciiTheme="minorHAnsi" w:hAnsiTheme="minorHAnsi" w:cstheme="minorHAnsi"/>
          <w:color w:val="auto"/>
        </w:rPr>
        <w:t xml:space="preserve"> </w:t>
      </w:r>
      <w:r w:rsidR="003437AC" w:rsidRPr="00382B3C">
        <w:rPr>
          <w:rFonts w:asciiTheme="minorHAnsi" w:hAnsiTheme="minorHAnsi" w:cstheme="minorHAnsi"/>
          <w:color w:val="auto"/>
        </w:rPr>
        <w:t>projektů žadatelů, kteří</w:t>
      </w:r>
      <w:r w:rsidR="00667E52" w:rsidRPr="00382B3C">
        <w:rPr>
          <w:rFonts w:asciiTheme="minorHAnsi" w:hAnsiTheme="minorHAnsi" w:cstheme="minorHAnsi"/>
          <w:color w:val="auto"/>
        </w:rPr>
        <w:t xml:space="preserve"> prokazatelně vykonávají kvalifikovanou, kontinuální a systematickou činnost ve prospěch příslušníků národnostních menšin</w:t>
      </w:r>
      <w:r w:rsidRPr="00382B3C">
        <w:rPr>
          <w:rFonts w:asciiTheme="minorHAnsi" w:hAnsiTheme="minorHAnsi" w:cstheme="minorHAnsi"/>
          <w:color w:val="auto"/>
        </w:rPr>
        <w:t xml:space="preserve"> žijících v České republice</w:t>
      </w:r>
      <w:r w:rsidR="003437AC" w:rsidRPr="00382B3C">
        <w:rPr>
          <w:rFonts w:asciiTheme="minorHAnsi" w:hAnsiTheme="minorHAnsi" w:cstheme="minorHAnsi"/>
          <w:color w:val="auto"/>
        </w:rPr>
        <w:t>. Svým obsahem je výběrové dotační řízení zaměřené především na cílenou a</w:t>
      </w:r>
      <w:r w:rsidRPr="00382B3C">
        <w:rPr>
          <w:rFonts w:asciiTheme="minorHAnsi" w:hAnsiTheme="minorHAnsi" w:cstheme="minorHAnsi"/>
          <w:color w:val="auto"/>
        </w:rPr>
        <w:t> </w:t>
      </w:r>
      <w:r w:rsidR="003437AC" w:rsidRPr="00382B3C">
        <w:rPr>
          <w:rFonts w:asciiTheme="minorHAnsi" w:hAnsiTheme="minorHAnsi" w:cstheme="minorHAnsi"/>
          <w:color w:val="auto"/>
        </w:rPr>
        <w:t xml:space="preserve">aktivní podporu příslušníků </w:t>
      </w:r>
      <w:r w:rsidRPr="00382B3C">
        <w:rPr>
          <w:rFonts w:asciiTheme="minorHAnsi" w:hAnsiTheme="minorHAnsi" w:cstheme="minorHAnsi"/>
          <w:color w:val="auto"/>
        </w:rPr>
        <w:t>národnostních menšin</w:t>
      </w:r>
      <w:r w:rsidR="003437AC" w:rsidRPr="00382B3C">
        <w:rPr>
          <w:rFonts w:asciiTheme="minorHAnsi" w:hAnsiTheme="minorHAnsi" w:cstheme="minorHAnsi"/>
          <w:color w:val="auto"/>
        </w:rPr>
        <w:t xml:space="preserve"> v jejich kulturních aktivitách.</w:t>
      </w:r>
      <w:r w:rsidR="0050675F" w:rsidRPr="00382B3C">
        <w:rPr>
          <w:rFonts w:asciiTheme="minorHAnsi" w:hAnsiTheme="minorHAnsi" w:cstheme="minorHAnsi"/>
          <w:b/>
          <w:color w:val="auto"/>
        </w:rPr>
        <w:t xml:space="preserve"> </w:t>
      </w:r>
    </w:p>
    <w:p w:rsidR="00745FB1" w:rsidRPr="00382B3C" w:rsidRDefault="00745FB1" w:rsidP="00745FB1">
      <w:pPr>
        <w:spacing w:after="0"/>
        <w:ind w:right="0"/>
        <w:rPr>
          <w:rFonts w:asciiTheme="minorHAnsi" w:hAnsiTheme="minorHAnsi" w:cstheme="minorHAnsi"/>
          <w:color w:val="auto"/>
        </w:rPr>
      </w:pPr>
    </w:p>
    <w:p w:rsidR="00745FB1" w:rsidRPr="00382B3C" w:rsidRDefault="00745FB1" w:rsidP="00745FB1">
      <w:pPr>
        <w:spacing w:after="0"/>
        <w:ind w:right="0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4000DD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2" w:name="_Toc203367674"/>
      <w:r w:rsidRPr="00F70D27">
        <w:rPr>
          <w:rFonts w:asciiTheme="minorHAnsi" w:hAnsiTheme="minorHAnsi" w:cstheme="minorHAnsi"/>
          <w:sz w:val="24"/>
          <w:szCs w:val="24"/>
        </w:rPr>
        <w:t xml:space="preserve">2.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Oprávnění žadatelé</w:t>
      </w:r>
      <w:bookmarkEnd w:id="2"/>
    </w:p>
    <w:p w:rsidR="00203B3D" w:rsidRPr="00382B3C" w:rsidRDefault="002C0F10" w:rsidP="00FC0349">
      <w:pPr>
        <w:numPr>
          <w:ilvl w:val="0"/>
          <w:numId w:val="2"/>
        </w:numPr>
        <w:spacing w:line="250" w:lineRule="auto"/>
        <w:ind w:left="703" w:right="0" w:hanging="357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Fyzické i právnické osoby, které splňují všechny zákonem a výběrovým řízením stanovené podmínk</w:t>
      </w:r>
      <w:r w:rsidR="006F0656" w:rsidRPr="00382B3C">
        <w:rPr>
          <w:rFonts w:asciiTheme="minorHAnsi" w:hAnsiTheme="minorHAnsi" w:cstheme="minorHAnsi"/>
          <w:color w:val="auto"/>
        </w:rPr>
        <w:t>y</w:t>
      </w:r>
      <w:r w:rsidR="004D7A93" w:rsidRPr="00382B3C">
        <w:rPr>
          <w:rFonts w:asciiTheme="minorHAnsi" w:hAnsiTheme="minorHAnsi" w:cstheme="minorHAnsi"/>
          <w:color w:val="auto"/>
        </w:rPr>
        <w:t>.</w:t>
      </w:r>
    </w:p>
    <w:p w:rsidR="00203B3D" w:rsidRPr="00382B3C" w:rsidRDefault="0050675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Žadatel</w:t>
      </w:r>
      <w:r w:rsidR="002C0F10" w:rsidRPr="00382B3C">
        <w:rPr>
          <w:rFonts w:asciiTheme="minorHAnsi" w:hAnsiTheme="minorHAnsi" w:cstheme="minorHAnsi"/>
          <w:color w:val="auto"/>
        </w:rPr>
        <w:t>, který je právnickou osobou,</w:t>
      </w:r>
      <w:r w:rsidR="00FC0349" w:rsidRPr="00382B3C">
        <w:rPr>
          <w:rFonts w:asciiTheme="minorHAnsi" w:hAnsiTheme="minorHAnsi" w:cstheme="minorHAnsi"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 xml:space="preserve">musí mít sídlo na území České republiky.  </w:t>
      </w:r>
    </w:p>
    <w:p w:rsidR="002C0F10" w:rsidRPr="00382B3C" w:rsidRDefault="002C0F10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Žadatel, který je fyzickou osobou, musí být občanem České republiky nebo cizincem s trvalým pobytem v České republice,</w:t>
      </w:r>
    </w:p>
    <w:p w:rsidR="00203B3D" w:rsidRPr="00382B3C" w:rsidRDefault="0050675F" w:rsidP="009343DF">
      <w:pPr>
        <w:numPr>
          <w:ilvl w:val="0"/>
          <w:numId w:val="2"/>
        </w:numPr>
        <w:spacing w:line="250" w:lineRule="auto"/>
        <w:ind w:left="703" w:right="0" w:hanging="357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Žádost předkládá subjekt, který je </w:t>
      </w:r>
      <w:r w:rsidR="002C0F10" w:rsidRPr="00382B3C">
        <w:rPr>
          <w:rFonts w:asciiTheme="minorHAnsi" w:hAnsiTheme="minorHAnsi" w:cstheme="minorHAnsi"/>
          <w:color w:val="auto"/>
        </w:rPr>
        <w:t xml:space="preserve">pořadatelem a </w:t>
      </w:r>
      <w:r w:rsidRPr="00382B3C">
        <w:rPr>
          <w:rFonts w:asciiTheme="minorHAnsi" w:hAnsiTheme="minorHAnsi" w:cstheme="minorHAnsi"/>
          <w:color w:val="auto"/>
        </w:rPr>
        <w:t xml:space="preserve">realizátorem projektu (tzn. </w:t>
      </w:r>
      <w:r w:rsidRPr="00382B3C">
        <w:rPr>
          <w:rFonts w:asciiTheme="minorHAnsi" w:hAnsiTheme="minorHAnsi" w:cstheme="minorHAnsi"/>
          <w:b/>
          <w:color w:val="auto"/>
        </w:rPr>
        <w:t>veškeré náklady a příjmy související s projektem musí projít účetnictvím žadatele a účetnictví je jasně oddělené od</w:t>
      </w:r>
      <w:r w:rsidR="00782BCF" w:rsidRPr="00382B3C">
        <w:rPr>
          <w:rFonts w:asciiTheme="minorHAnsi" w:hAnsiTheme="minorHAnsi" w:cstheme="minorHAnsi"/>
          <w:b/>
          <w:color w:val="auto"/>
        </w:rPr>
        <w:t> </w:t>
      </w:r>
      <w:r w:rsidRPr="00382B3C">
        <w:rPr>
          <w:rFonts w:asciiTheme="minorHAnsi" w:hAnsiTheme="minorHAnsi" w:cstheme="minorHAnsi"/>
          <w:b/>
          <w:color w:val="auto"/>
        </w:rPr>
        <w:t>ostatních projektů</w:t>
      </w:r>
      <w:r w:rsidRPr="00382B3C">
        <w:rPr>
          <w:rFonts w:asciiTheme="minorHAnsi" w:hAnsiTheme="minorHAnsi" w:cstheme="minorHAnsi"/>
          <w:color w:val="auto"/>
        </w:rPr>
        <w:t>).</w:t>
      </w:r>
      <w:r w:rsidR="002C0F10" w:rsidRPr="00382B3C">
        <w:rPr>
          <w:rFonts w:asciiTheme="minorHAnsi" w:hAnsiTheme="minorHAnsi" w:cstheme="minorHAnsi"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>Pokud projekt pořádá více spolupořadatelů, žádost předkládá ten ze spolupořadatelů, který nese odpovědnost za realizaci projektu</w:t>
      </w:r>
      <w:r w:rsidR="002C0F10" w:rsidRPr="00382B3C">
        <w:rPr>
          <w:rFonts w:asciiTheme="minorHAnsi" w:hAnsiTheme="minorHAnsi" w:cstheme="minorHAnsi"/>
          <w:color w:val="auto"/>
        </w:rPr>
        <w:t xml:space="preserve"> (bude doloženo kopií </w:t>
      </w:r>
      <w:proofErr w:type="spellStart"/>
      <w:r w:rsidR="002C0F10" w:rsidRPr="00382B3C">
        <w:rPr>
          <w:rFonts w:asciiTheme="minorHAnsi" w:hAnsiTheme="minorHAnsi" w:cstheme="minorHAnsi"/>
          <w:color w:val="auto"/>
        </w:rPr>
        <w:t>spolupořadatelské</w:t>
      </w:r>
      <w:proofErr w:type="spellEnd"/>
      <w:r w:rsidR="002C0F10" w:rsidRPr="00382B3C">
        <w:rPr>
          <w:rFonts w:asciiTheme="minorHAnsi" w:hAnsiTheme="minorHAnsi" w:cstheme="minorHAnsi"/>
          <w:color w:val="auto"/>
        </w:rPr>
        <w:t xml:space="preserve"> smlouvy)</w:t>
      </w:r>
      <w:r w:rsidRPr="00382B3C">
        <w:rPr>
          <w:rFonts w:asciiTheme="minorHAnsi" w:hAnsiTheme="minorHAnsi" w:cstheme="minorHAnsi"/>
          <w:color w:val="auto"/>
        </w:rPr>
        <w:t xml:space="preserve">. </w:t>
      </w:r>
    </w:p>
    <w:p w:rsidR="002C0F10" w:rsidRPr="00382B3C" w:rsidRDefault="002C0F10" w:rsidP="009343DF">
      <w:pPr>
        <w:numPr>
          <w:ilvl w:val="0"/>
          <w:numId w:val="2"/>
        </w:numPr>
        <w:spacing w:line="250" w:lineRule="auto"/>
        <w:ind w:left="703" w:right="0" w:hanging="357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V případě spolku předkládá projekt výhradně hlavní spolek, a to i za pobočné spolky v případě, že subjekt nemá právní subjektivitu a vlastní IČO</w:t>
      </w:r>
      <w:r w:rsidR="006F0656" w:rsidRPr="00382B3C">
        <w:rPr>
          <w:rFonts w:asciiTheme="minorHAnsi" w:hAnsiTheme="minorHAnsi" w:cstheme="minorHAnsi"/>
          <w:color w:val="auto"/>
        </w:rPr>
        <w:t>.</w:t>
      </w:r>
    </w:p>
    <w:p w:rsidR="00FC0349" w:rsidRPr="00382B3C" w:rsidRDefault="0050675F" w:rsidP="00FC0349">
      <w:pPr>
        <w:numPr>
          <w:ilvl w:val="0"/>
          <w:numId w:val="2"/>
        </w:numPr>
        <w:spacing w:line="250" w:lineRule="auto"/>
        <w:ind w:left="703" w:right="0" w:hanging="357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Žadatel, který obdrží dotaci,</w:t>
      </w:r>
      <w:r w:rsidR="00FC0349" w:rsidRPr="00382B3C">
        <w:rPr>
          <w:rFonts w:asciiTheme="minorHAnsi" w:hAnsiTheme="minorHAnsi" w:cstheme="minorHAnsi"/>
          <w:color w:val="auto"/>
        </w:rPr>
        <w:t xml:space="preserve"> ji nesmí převádět na jiné právnické osoby, pokud se nejedná o přímou úhradu výdajů (např. nájemné prostor, tisk propagačních materiálů, honoráře apod.) spojených s realizací projektu.</w:t>
      </w:r>
    </w:p>
    <w:p w:rsidR="00203B3D" w:rsidRPr="00382B3C" w:rsidRDefault="0050675F" w:rsidP="00745FB1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 může ve výzvě předložit maximálně </w:t>
      </w:r>
      <w:r w:rsidR="00782BCF" w:rsidRPr="00382B3C">
        <w:rPr>
          <w:rFonts w:asciiTheme="minorHAnsi" w:hAnsiTheme="minorHAnsi" w:cstheme="minorHAnsi"/>
          <w:color w:val="auto"/>
        </w:rPr>
        <w:t>2</w:t>
      </w:r>
      <w:r w:rsidRPr="00382B3C">
        <w:rPr>
          <w:rFonts w:asciiTheme="minorHAnsi" w:hAnsiTheme="minorHAnsi" w:cstheme="minorHAnsi"/>
          <w:color w:val="auto"/>
        </w:rPr>
        <w:t xml:space="preserve"> projekty, každý formou samostatné žádosti.  </w:t>
      </w:r>
    </w:p>
    <w:p w:rsidR="00745FB1" w:rsidRPr="00382B3C" w:rsidRDefault="00745FB1" w:rsidP="00745FB1">
      <w:pPr>
        <w:spacing w:after="0"/>
        <w:ind w:left="705" w:right="0" w:firstLine="0"/>
        <w:rPr>
          <w:rFonts w:asciiTheme="minorHAnsi" w:hAnsiTheme="minorHAnsi" w:cstheme="minorHAnsi"/>
          <w:color w:val="auto"/>
        </w:rPr>
      </w:pPr>
    </w:p>
    <w:p w:rsidR="00745FB1" w:rsidRPr="00382B3C" w:rsidRDefault="00745FB1" w:rsidP="00745FB1">
      <w:pPr>
        <w:spacing w:after="0"/>
        <w:ind w:left="705" w:right="0" w:firstLine="0"/>
        <w:rPr>
          <w:rFonts w:asciiTheme="minorHAnsi" w:hAnsiTheme="minorHAnsi" w:cstheme="minorHAnsi"/>
          <w:color w:val="auto"/>
        </w:rPr>
      </w:pPr>
    </w:p>
    <w:p w:rsidR="00DD667A" w:rsidRPr="00F70D27" w:rsidRDefault="0050675F" w:rsidP="00B41C2E">
      <w:pPr>
        <w:pStyle w:val="Nadpis1"/>
        <w:rPr>
          <w:rStyle w:val="Nadpis1Char"/>
          <w:rFonts w:asciiTheme="minorHAnsi" w:hAnsiTheme="minorHAnsi" w:cstheme="minorHAnsi"/>
          <w:sz w:val="24"/>
          <w:szCs w:val="24"/>
        </w:rPr>
      </w:pPr>
      <w:bookmarkStart w:id="3" w:name="_Hlk201154012"/>
      <w:bookmarkStart w:id="4" w:name="_Toc203367675"/>
      <w:r w:rsidRPr="00F70D27">
        <w:rPr>
          <w:rFonts w:asciiTheme="minorHAnsi" w:hAnsiTheme="minorHAnsi" w:cstheme="minorHAnsi"/>
          <w:sz w:val="24"/>
          <w:szCs w:val="24"/>
        </w:rPr>
        <w:t xml:space="preserve">3.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Popis podporovaných aktivit – tematické okruhy</w:t>
      </w:r>
      <w:bookmarkEnd w:id="3"/>
      <w:bookmarkEnd w:id="4"/>
    </w:p>
    <w:p w:rsidR="00FC0349" w:rsidRPr="00382B3C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umělecké aktivity (divadla, muzea, galerie, knihovny, koncerty, přehlídky, festivaly),</w:t>
      </w:r>
    </w:p>
    <w:p w:rsidR="00FC0349" w:rsidRPr="00382B3C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kulturně vzdělávací a výchovné aktivity (semináře, přednášky, besedy, workshopy),</w:t>
      </w:r>
    </w:p>
    <w:p w:rsidR="00FC0349" w:rsidRPr="00382B3C" w:rsidRDefault="002C0F10" w:rsidP="00C01729">
      <w:pPr>
        <w:widowControl w:val="0"/>
        <w:numPr>
          <w:ilvl w:val="0"/>
          <w:numId w:val="32"/>
        </w:num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studium a rozbory národnostní kultury a lidových tradic</w:t>
      </w:r>
      <w:r w:rsidR="00FC0349" w:rsidRPr="00382B3C">
        <w:rPr>
          <w:rFonts w:asciiTheme="minorHAnsi" w:hAnsiTheme="minorHAnsi" w:cstheme="minorHAnsi"/>
          <w:color w:val="auto"/>
        </w:rPr>
        <w:t>,</w:t>
      </w:r>
    </w:p>
    <w:p w:rsidR="00FC0349" w:rsidRPr="00382B3C" w:rsidRDefault="008417CC" w:rsidP="00C01729">
      <w:pPr>
        <w:widowControl w:val="0"/>
        <w:numPr>
          <w:ilvl w:val="0"/>
          <w:numId w:val="32"/>
        </w:num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multietnické kulturní akce (směřující mimo jiné např. k potírání negativních projevů extremismu, rasové a národnostní nesnášenlivosti a xenofobie)</w:t>
      </w:r>
      <w:r w:rsidR="00FC0349" w:rsidRPr="00382B3C">
        <w:rPr>
          <w:rFonts w:asciiTheme="minorHAnsi" w:hAnsiTheme="minorHAnsi" w:cstheme="minorHAnsi"/>
          <w:color w:val="auto"/>
        </w:rPr>
        <w:t>,</w:t>
      </w:r>
    </w:p>
    <w:p w:rsidR="00FC0349" w:rsidRPr="00382B3C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ediční činnost (neperiodické publikace),</w:t>
      </w:r>
    </w:p>
    <w:p w:rsidR="00426E1B" w:rsidRPr="00382B3C" w:rsidRDefault="008417CC" w:rsidP="00C01729">
      <w:pPr>
        <w:widowControl w:val="0"/>
        <w:numPr>
          <w:ilvl w:val="0"/>
          <w:numId w:val="32"/>
        </w:numPr>
        <w:spacing w:after="120" w:line="360" w:lineRule="auto"/>
        <w:ind w:left="357" w:right="0" w:hanging="357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dokumentace národnostní kultury</w:t>
      </w:r>
    </w:p>
    <w:p w:rsidR="00C01729" w:rsidRPr="00382B3C" w:rsidRDefault="00C01729" w:rsidP="00426E1B">
      <w:pPr>
        <w:widowControl w:val="0"/>
        <w:spacing w:after="0" w:line="240" w:lineRule="auto"/>
        <w:ind w:left="0" w:right="0" w:firstLine="0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7C73E7" w:rsidRDefault="00426E1B" w:rsidP="007C73E7">
      <w:pPr>
        <w:widowControl w:val="0"/>
        <w:spacing w:line="240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b/>
          <w:color w:val="auto"/>
        </w:rPr>
        <w:t>Žadatel je povinen realizovat opatření k zajištění přístupnosti akce/akcí pro osoby se zdravotním postižením či jiným znevýhodněním</w:t>
      </w:r>
      <w:r w:rsidR="00494FB1" w:rsidRPr="00382B3C">
        <w:rPr>
          <w:rFonts w:asciiTheme="minorHAnsi" w:hAnsiTheme="minorHAnsi" w:cstheme="minorHAnsi"/>
          <w:b/>
          <w:color w:val="auto"/>
        </w:rPr>
        <w:t xml:space="preserve">, </w:t>
      </w:r>
      <w:r w:rsidRPr="00382B3C">
        <w:rPr>
          <w:rFonts w:asciiTheme="minorHAnsi" w:hAnsiTheme="minorHAnsi" w:cstheme="minorHAnsi"/>
          <w:color w:val="auto"/>
        </w:rPr>
        <w:t>např. bezbariérová WC, tlumočení do znakového jazyka, titulky, přepis, zvukové záznamy pro nevidomé, slevy ze vstupného, zajištění přepravy speciálními vozidly, asistence apod.</w:t>
      </w:r>
      <w:r w:rsidR="007C73E7">
        <w:rPr>
          <w:rFonts w:asciiTheme="minorHAnsi" w:hAnsiTheme="minorHAnsi" w:cstheme="minorHAnsi"/>
          <w:color w:val="auto"/>
        </w:rPr>
        <w:t xml:space="preserve"> </w:t>
      </w:r>
    </w:p>
    <w:p w:rsidR="00032DC7" w:rsidRPr="008711BC" w:rsidRDefault="00032DC7" w:rsidP="007C73E7">
      <w:pPr>
        <w:widowControl w:val="0"/>
        <w:spacing w:after="120" w:line="240" w:lineRule="auto"/>
        <w:ind w:left="0" w:right="0" w:firstLine="0"/>
        <w:rPr>
          <w:rFonts w:asciiTheme="minorHAnsi" w:eastAsiaTheme="minorHAnsi" w:hAnsiTheme="minorHAnsi" w:cstheme="minorHAnsi"/>
          <w:b/>
          <w:color w:val="FF0000"/>
        </w:rPr>
      </w:pPr>
      <w:r w:rsidRPr="008711BC">
        <w:rPr>
          <w:rFonts w:asciiTheme="minorHAnsi" w:hAnsiTheme="minorHAnsi" w:cstheme="minorHAnsi"/>
          <w:b/>
          <w:color w:val="FF0000"/>
        </w:rPr>
        <w:t>Upozornění: Projekty předkládané v tomto programu musí zohledňovat kritérium přístupnosti akce/akcí pro osoby se ZP či jiným znevýhodněním, tj. žádost musí obsahovat popis, jaká opatření budou v rámci projektu realizována.</w:t>
      </w:r>
    </w:p>
    <w:p w:rsidR="006A44D4" w:rsidRPr="00382B3C" w:rsidRDefault="008417CC" w:rsidP="007E2EB5">
      <w:pPr>
        <w:numPr>
          <w:ilvl w:val="12"/>
          <w:numId w:val="0"/>
        </w:numPr>
        <w:spacing w:after="120" w:line="250" w:lineRule="auto"/>
        <w:ind w:right="6"/>
        <w:rPr>
          <w:rFonts w:asciiTheme="minorHAnsi" w:hAnsiTheme="minorHAnsi" w:cstheme="minorHAnsi"/>
          <w:b/>
          <w:color w:val="auto"/>
        </w:rPr>
      </w:pPr>
      <w:r w:rsidRPr="00382B3C">
        <w:rPr>
          <w:rFonts w:asciiTheme="minorHAnsi" w:hAnsiTheme="minorHAnsi" w:cstheme="minorHAnsi"/>
          <w:b/>
          <w:color w:val="auto"/>
        </w:rPr>
        <w:t>Na sportovní činnost, letní tábory, zájmové aktivity spojené se školou, např. kroužky práce na</w:t>
      </w:r>
      <w:r w:rsidR="007E2EB5" w:rsidRPr="00382B3C">
        <w:rPr>
          <w:rFonts w:asciiTheme="minorHAnsi" w:hAnsiTheme="minorHAnsi" w:cstheme="minorHAnsi"/>
          <w:b/>
          <w:color w:val="auto"/>
        </w:rPr>
        <w:t> </w:t>
      </w:r>
      <w:r w:rsidRPr="00382B3C">
        <w:rPr>
          <w:rFonts w:asciiTheme="minorHAnsi" w:hAnsiTheme="minorHAnsi" w:cstheme="minorHAnsi"/>
          <w:b/>
          <w:color w:val="auto"/>
        </w:rPr>
        <w:t>počítači, jazykové kurzy apod., nelze požadovat státní dotaci od Ministerstva kultury, nýbrž od</w:t>
      </w:r>
      <w:r w:rsidR="007E2EB5" w:rsidRPr="00382B3C">
        <w:rPr>
          <w:rFonts w:asciiTheme="minorHAnsi" w:hAnsiTheme="minorHAnsi" w:cstheme="minorHAnsi"/>
          <w:b/>
          <w:color w:val="auto"/>
        </w:rPr>
        <w:t> </w:t>
      </w:r>
      <w:r w:rsidRPr="00382B3C">
        <w:rPr>
          <w:rFonts w:asciiTheme="minorHAnsi" w:hAnsiTheme="minorHAnsi" w:cstheme="minorHAnsi"/>
          <w:b/>
          <w:color w:val="auto"/>
        </w:rPr>
        <w:t>Ministerstva školství, mládeže a tělovýchovy.</w:t>
      </w:r>
    </w:p>
    <w:p w:rsidR="00BD1CEB" w:rsidRPr="00382B3C" w:rsidRDefault="006A44D4" w:rsidP="002F5B76">
      <w:pPr>
        <w:spacing w:after="120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b/>
          <w:color w:val="auto"/>
          <w:u w:val="single"/>
        </w:rPr>
        <w:lastRenderedPageBreak/>
        <w:t>Ministerstvo kultury nepodporuje první ročníky festivalů a přehlídek.</w:t>
      </w:r>
      <w:r w:rsidRPr="00382B3C">
        <w:rPr>
          <w:rFonts w:asciiTheme="minorHAnsi" w:hAnsiTheme="minorHAnsi" w:cstheme="minorHAnsi"/>
          <w:b/>
          <w:color w:val="auto"/>
        </w:rPr>
        <w:t xml:space="preserve"> </w:t>
      </w:r>
      <w:r w:rsidR="008417CC" w:rsidRPr="00382B3C">
        <w:rPr>
          <w:rFonts w:asciiTheme="minorHAnsi" w:hAnsiTheme="minorHAnsi" w:cstheme="minorHAnsi"/>
          <w:b/>
          <w:color w:val="auto"/>
        </w:rPr>
        <w:t>Předmětem podpory v tomto řízení není rovněž účast zahraničních účinkujících na akcích a filmová tvorba.</w:t>
      </w:r>
    </w:p>
    <w:p w:rsidR="00982037" w:rsidRPr="00382B3C" w:rsidRDefault="00982037" w:rsidP="00367240">
      <w:pPr>
        <w:spacing w:after="120"/>
        <w:ind w:firstLine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Projekty musí být zaměřeny na dlouhodobější činnost, nikoli jen na jednorázové akce. Přednost mají projekty, které jsou určeny třetím osobám. </w:t>
      </w:r>
      <w:r w:rsidRPr="00382B3C">
        <w:rPr>
          <w:rFonts w:asciiTheme="minorHAnsi" w:hAnsiTheme="minorHAnsi" w:cstheme="minorHAnsi"/>
          <w:color w:val="auto"/>
          <w:u w:val="single"/>
        </w:rPr>
        <w:t>Ministerstvo kultury nepodporuje akce lokálního a</w:t>
      </w:r>
      <w:r w:rsidR="003F2993" w:rsidRPr="00382B3C">
        <w:rPr>
          <w:rFonts w:asciiTheme="minorHAnsi" w:hAnsiTheme="minorHAnsi" w:cstheme="minorHAnsi"/>
          <w:color w:val="auto"/>
          <w:u w:val="single"/>
        </w:rPr>
        <w:t> </w:t>
      </w:r>
      <w:r w:rsidRPr="00382B3C">
        <w:rPr>
          <w:rFonts w:asciiTheme="minorHAnsi" w:hAnsiTheme="minorHAnsi" w:cstheme="minorHAnsi"/>
          <w:color w:val="auto"/>
          <w:u w:val="single"/>
        </w:rPr>
        <w:t>komerčního charakteru, ani běžnou činnost organizací</w:t>
      </w:r>
      <w:r w:rsidRPr="00382B3C">
        <w:rPr>
          <w:rFonts w:asciiTheme="minorHAnsi" w:hAnsiTheme="minorHAnsi" w:cstheme="minorHAnsi"/>
          <w:color w:val="auto"/>
        </w:rPr>
        <w:t>. Finanční prostředky jsou určeny především na podporu nově se rozbíhajících projektů. Projektem se pro účely žádosti rozumí soubor věcných, časových a finančních podmínek a aktivit konkrétních činností k dosažení stanovených cílů.</w:t>
      </w:r>
    </w:p>
    <w:p w:rsidR="00F54FBC" w:rsidRPr="00382B3C" w:rsidRDefault="00F54FBC" w:rsidP="00D02D45">
      <w:pPr>
        <w:spacing w:after="0"/>
        <w:ind w:firstLine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Vzhledem k samostatnému vyhlášení výběrového dotačního řízení Kulturní aktivity -</w:t>
      </w:r>
      <w:r w:rsidR="00AC4536" w:rsidRPr="00382B3C">
        <w:rPr>
          <w:rFonts w:asciiTheme="minorHAnsi" w:hAnsiTheme="minorHAnsi" w:cstheme="minorHAnsi"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 xml:space="preserve">odborem umění, knihoven, kulturních a kreativních průmyslů, odborem médií a audiovize, samostatným oddělením církví a náboženských společností, odborem muzeí </w:t>
      </w:r>
      <w:r w:rsidR="00AC4536" w:rsidRPr="00382B3C">
        <w:rPr>
          <w:rFonts w:asciiTheme="minorHAnsi" w:hAnsiTheme="minorHAnsi" w:cstheme="minorHAnsi"/>
          <w:color w:val="auto"/>
        </w:rPr>
        <w:t xml:space="preserve">a </w:t>
      </w:r>
      <w:r w:rsidRPr="00382B3C">
        <w:rPr>
          <w:rFonts w:asciiTheme="minorHAnsi" w:hAnsiTheme="minorHAnsi" w:cstheme="minorHAnsi"/>
          <w:color w:val="auto"/>
        </w:rPr>
        <w:t>galerií a samostatným oddělením ochrany kulturních statků MK, i k dalším výběrovým dotačním řízením odboru regionální a národnostní kultury - Podpora integrace příslušníků romské menšiny, Podpora kulturních aktivit osob se zdravotním postiženým a seniorů, Podpora tradiční lidové kultury, Podpora neprofesionálních uměleckých aktivit, Podpora zahraničních kontaktů v oblasti neprofesionálních uměleckých aktivit a Podpora regionálních kulturních tradic - není toto výběrové dotační řízení pro aktivity těchto zaměření určeno.</w:t>
      </w:r>
    </w:p>
    <w:p w:rsidR="00F54FBC" w:rsidRPr="00367240" w:rsidRDefault="00F54FBC" w:rsidP="00982037">
      <w:pPr>
        <w:ind w:firstLine="0"/>
        <w:rPr>
          <w:rFonts w:asciiTheme="minorHAnsi" w:hAnsiTheme="minorHAnsi" w:cstheme="minorHAnsi"/>
          <w:color w:val="FF0000"/>
        </w:rPr>
      </w:pPr>
    </w:p>
    <w:p w:rsidR="00367240" w:rsidRPr="00367240" w:rsidRDefault="00367240" w:rsidP="005767AF">
      <w:pPr>
        <w:pStyle w:val="Nadpis1"/>
        <w:rPr>
          <w:rFonts w:asciiTheme="minorHAnsi" w:hAnsiTheme="minorHAnsi" w:cstheme="minorHAnsi"/>
          <w:sz w:val="22"/>
        </w:rPr>
      </w:pPr>
      <w:bookmarkStart w:id="5" w:name="_Toc203367676"/>
    </w:p>
    <w:p w:rsidR="00414693" w:rsidRPr="00F70D27" w:rsidRDefault="00F95844" w:rsidP="005767AF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F70D27">
        <w:rPr>
          <w:rFonts w:asciiTheme="minorHAnsi" w:hAnsiTheme="minorHAnsi" w:cstheme="minorHAnsi"/>
          <w:sz w:val="24"/>
          <w:szCs w:val="24"/>
        </w:rPr>
        <w:t xml:space="preserve">4.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Forma a výše podpory a zdroje financování</w:t>
      </w:r>
      <w:bookmarkEnd w:id="5"/>
    </w:p>
    <w:p w:rsidR="00414693" w:rsidRPr="00AC50C2" w:rsidRDefault="00F95844" w:rsidP="003919F0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>Podpora je poskytována formou neinvestiční, účelově vázané dotace v souladu s ustanovením §</w:t>
      </w:r>
      <w:r w:rsidR="00414693" w:rsidRPr="00382B3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14 rozpočtových pravidel a zákonem č. 500/2004 Sb., správní řád, ve znění pozdějších předpisů (dále jen „správní řád“), </w:t>
      </w:r>
      <w:r w:rsidRPr="00AC50C2">
        <w:rPr>
          <w:rFonts w:asciiTheme="minorHAnsi" w:hAnsiTheme="minorHAnsi" w:cstheme="minorHAnsi"/>
          <w:color w:val="auto"/>
          <w:sz w:val="22"/>
          <w:szCs w:val="22"/>
        </w:rPr>
        <w:t xml:space="preserve">a to v rozsahu stanoveném ustanovením § </w:t>
      </w:r>
      <w:proofErr w:type="gramStart"/>
      <w:r w:rsidRPr="00AC50C2">
        <w:rPr>
          <w:rFonts w:asciiTheme="minorHAnsi" w:hAnsiTheme="minorHAnsi" w:cstheme="minorHAnsi"/>
          <w:color w:val="auto"/>
          <w:sz w:val="22"/>
          <w:szCs w:val="22"/>
        </w:rPr>
        <w:t>14q</w:t>
      </w:r>
      <w:proofErr w:type="gramEnd"/>
      <w:r w:rsidRPr="00AC50C2">
        <w:rPr>
          <w:rFonts w:asciiTheme="minorHAnsi" w:hAnsiTheme="minorHAnsi" w:cstheme="minorHAnsi"/>
          <w:color w:val="auto"/>
          <w:sz w:val="22"/>
          <w:szCs w:val="22"/>
        </w:rPr>
        <w:t xml:space="preserve"> rozpočtových pravidel. </w:t>
      </w:r>
    </w:p>
    <w:p w:rsidR="00414693" w:rsidRPr="00382B3C" w:rsidRDefault="00F95844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Doporučenou výši podpory stanoví při hodnocení žádosti příslušná odborná komise, o výsledku rozhoduje ministr kultury. </w:t>
      </w:r>
    </w:p>
    <w:p w:rsidR="00414693" w:rsidRPr="00382B3C" w:rsidRDefault="00414693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Dotace může být poskytnuta nejvýše do </w:t>
      </w:r>
      <w:r w:rsidRPr="00382B3C">
        <w:rPr>
          <w:rFonts w:asciiTheme="minorHAnsi" w:hAnsiTheme="minorHAnsi" w:cstheme="minorHAnsi"/>
          <w:b/>
          <w:color w:val="auto"/>
          <w:sz w:val="22"/>
          <w:szCs w:val="22"/>
        </w:rPr>
        <w:t xml:space="preserve">70 % celkových </w:t>
      </w:r>
      <w:r w:rsidR="00C01729" w:rsidRPr="00382B3C">
        <w:rPr>
          <w:rFonts w:asciiTheme="minorHAnsi" w:hAnsiTheme="minorHAnsi" w:cstheme="minorHAnsi"/>
          <w:b/>
          <w:color w:val="auto"/>
          <w:sz w:val="22"/>
          <w:szCs w:val="22"/>
        </w:rPr>
        <w:t>nákladů</w:t>
      </w:r>
      <w:r w:rsidRPr="00382B3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projektu</w:t>
      </w:r>
      <w:r w:rsidRPr="00382B3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414693" w:rsidRPr="00382B3C" w:rsidRDefault="00F95844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>Projekt, který je obsahem žádosti, může být spolufinancován z obecních a krajských rozpočtů, z</w:t>
      </w:r>
      <w:r w:rsidR="00414693" w:rsidRPr="00382B3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prostředků evropských fondů a z dalších zdrojů. Pokud je týž projekt financován z více zdrojů, duplicitní úhrada stejného nákladu z různých zdrojů není povolena. </w:t>
      </w:r>
    </w:p>
    <w:p w:rsidR="00414693" w:rsidRPr="00382B3C" w:rsidRDefault="0050675F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>Podpora je MKČR proplácena bezhotovostními převody finančních prostředků v Kč na</w:t>
      </w:r>
      <w:r w:rsidR="003F2993" w:rsidRPr="00382B3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bankovní účet příjemce dotace uvedený v žádosti. </w:t>
      </w:r>
    </w:p>
    <w:p w:rsidR="00414693" w:rsidRPr="00382B3C" w:rsidRDefault="0050675F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>MKČR poskytne podporu pouze na úhradu způsobilých výdajů. Výdaje musí být v souladu s</w:t>
      </w:r>
      <w:r w:rsidR="00FA7C3E" w:rsidRPr="00382B3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pravidly této výzvy a platnými právními předpisy. </w:t>
      </w:r>
    </w:p>
    <w:p w:rsidR="00414693" w:rsidRPr="00382B3C" w:rsidRDefault="0050675F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Dotace ze státního rozpočtu nelze poskytovat na benefiční a charitativní akce. </w:t>
      </w:r>
    </w:p>
    <w:p w:rsidR="00F0423C" w:rsidRPr="00382B3C" w:rsidRDefault="00F0423C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2B3C">
        <w:rPr>
          <w:rFonts w:asciiTheme="minorHAnsi" w:hAnsiTheme="minorHAnsi" w:cstheme="minorHAnsi"/>
          <w:color w:val="auto"/>
          <w:sz w:val="22"/>
          <w:szCs w:val="22"/>
        </w:rPr>
        <w:t xml:space="preserve">Finanční prostředky MKČR proplácí na základě rozhodnutí o poskytnutí dotace. </w:t>
      </w:r>
    </w:p>
    <w:p w:rsidR="007D75BE" w:rsidRPr="00382B3C" w:rsidRDefault="007D75BE" w:rsidP="00414693">
      <w:pPr>
        <w:ind w:left="0" w:right="0" w:firstLine="0"/>
        <w:rPr>
          <w:rFonts w:asciiTheme="minorHAnsi" w:hAnsiTheme="minorHAnsi" w:cstheme="minorHAnsi"/>
          <w:color w:val="auto"/>
        </w:rPr>
      </w:pPr>
    </w:p>
    <w:p w:rsidR="00414693" w:rsidRPr="00382B3C" w:rsidRDefault="00414693" w:rsidP="00D02D45">
      <w:pPr>
        <w:spacing w:after="0"/>
        <w:ind w:left="0" w:right="0" w:firstLine="0"/>
        <w:rPr>
          <w:rFonts w:asciiTheme="minorHAnsi" w:hAnsiTheme="minorHAnsi" w:cstheme="minorHAnsi"/>
          <w:color w:val="auto"/>
        </w:rPr>
      </w:pPr>
    </w:p>
    <w:p w:rsidR="00203B3D" w:rsidRPr="00382B3C" w:rsidRDefault="0050675F" w:rsidP="005767AF">
      <w:pPr>
        <w:pStyle w:val="Nadpis1"/>
        <w:rPr>
          <w:rFonts w:asciiTheme="minorHAnsi" w:hAnsiTheme="minorHAnsi" w:cstheme="minorHAnsi"/>
          <w:sz w:val="22"/>
        </w:rPr>
      </w:pPr>
      <w:bookmarkStart w:id="6" w:name="_Toc203367677"/>
      <w:r w:rsidRPr="00382B3C">
        <w:rPr>
          <w:rFonts w:asciiTheme="minorHAnsi" w:hAnsiTheme="minorHAnsi" w:cstheme="minorHAnsi"/>
          <w:sz w:val="22"/>
        </w:rPr>
        <w:t>5. Harmonogram výzvy</w:t>
      </w:r>
      <w:bookmarkEnd w:id="6"/>
    </w:p>
    <w:tbl>
      <w:tblPr>
        <w:tblStyle w:val="TableGrid"/>
        <w:tblW w:w="9633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56"/>
        <w:gridCol w:w="2977"/>
      </w:tblGrid>
      <w:tr w:rsidR="00203B3D" w:rsidRPr="00382B3C">
        <w:trPr>
          <w:trHeight w:val="292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Harmonogram výzvy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03B3D" w:rsidRPr="00382B3C" w:rsidRDefault="00203B3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03B3D" w:rsidRPr="00382B3C">
        <w:trPr>
          <w:trHeight w:val="294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Vyhlášení výzvy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26363C" w:rsidRDefault="0026363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6363C">
              <w:rPr>
                <w:rFonts w:asciiTheme="minorHAnsi" w:hAnsiTheme="minorHAnsi" w:cstheme="minorHAnsi"/>
                <w:color w:val="auto"/>
              </w:rPr>
              <w:t>27</w:t>
            </w:r>
            <w:r w:rsidR="0050675F" w:rsidRPr="0026363C">
              <w:rPr>
                <w:rFonts w:asciiTheme="minorHAnsi" w:hAnsiTheme="minorHAnsi" w:cstheme="minorHAnsi"/>
                <w:color w:val="auto"/>
              </w:rPr>
              <w:t>.0</w:t>
            </w:r>
            <w:r w:rsidRPr="0026363C">
              <w:rPr>
                <w:rFonts w:asciiTheme="minorHAnsi" w:hAnsiTheme="minorHAnsi" w:cstheme="minorHAnsi"/>
                <w:color w:val="auto"/>
              </w:rPr>
              <w:t>8</w:t>
            </w:r>
            <w:r w:rsidR="0050675F" w:rsidRPr="0026363C">
              <w:rPr>
                <w:rFonts w:asciiTheme="minorHAnsi" w:hAnsiTheme="minorHAnsi" w:cstheme="minorHAnsi"/>
                <w:color w:val="auto"/>
              </w:rPr>
              <w:t>.202</w:t>
            </w:r>
            <w:r w:rsidR="00FA7C3E" w:rsidRPr="0026363C">
              <w:rPr>
                <w:rFonts w:asciiTheme="minorHAnsi" w:hAnsiTheme="minorHAnsi" w:cstheme="minorHAnsi"/>
                <w:color w:val="auto"/>
              </w:rPr>
              <w:t>5</w:t>
            </w:r>
            <w:r w:rsidR="0050675F" w:rsidRPr="002636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203B3D" w:rsidRPr="00382B3C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Zahájení příjmu žádostí v DPMK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032DC7" w:rsidRDefault="0026363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032DC7">
              <w:rPr>
                <w:rFonts w:asciiTheme="minorHAnsi" w:hAnsiTheme="minorHAnsi" w:cstheme="minorHAnsi"/>
                <w:b/>
                <w:color w:val="auto"/>
              </w:rPr>
              <w:t>29</w:t>
            </w:r>
            <w:r w:rsidR="0050675F" w:rsidRPr="00032DC7">
              <w:rPr>
                <w:rFonts w:asciiTheme="minorHAnsi" w:hAnsiTheme="minorHAnsi" w:cstheme="minorHAnsi"/>
                <w:b/>
                <w:color w:val="auto"/>
              </w:rPr>
              <w:t>.</w:t>
            </w:r>
            <w:r w:rsidRPr="00032DC7">
              <w:rPr>
                <w:rFonts w:asciiTheme="minorHAnsi" w:hAnsiTheme="minorHAnsi" w:cstheme="minorHAnsi"/>
                <w:b/>
                <w:color w:val="auto"/>
              </w:rPr>
              <w:t>8</w:t>
            </w:r>
            <w:r w:rsidR="0050675F" w:rsidRPr="00032DC7">
              <w:rPr>
                <w:rFonts w:asciiTheme="minorHAnsi" w:hAnsiTheme="minorHAnsi" w:cstheme="minorHAnsi"/>
                <w:b/>
                <w:color w:val="auto"/>
              </w:rPr>
              <w:t>.202</w:t>
            </w:r>
            <w:r w:rsidR="00FA7C3E" w:rsidRPr="00032DC7">
              <w:rPr>
                <w:rFonts w:asciiTheme="minorHAnsi" w:hAnsiTheme="minorHAnsi" w:cstheme="minorHAnsi"/>
                <w:b/>
                <w:color w:val="auto"/>
              </w:rPr>
              <w:t>5</w:t>
            </w:r>
            <w:r w:rsidR="0050675F" w:rsidRPr="00032DC7">
              <w:rPr>
                <w:rFonts w:asciiTheme="minorHAnsi" w:hAnsiTheme="minorHAnsi" w:cstheme="minorHAnsi"/>
                <w:b/>
                <w:color w:val="auto"/>
              </w:rPr>
              <w:t xml:space="preserve"> (1</w:t>
            </w:r>
            <w:r w:rsidR="00066AD0" w:rsidRPr="00032DC7">
              <w:rPr>
                <w:rFonts w:asciiTheme="minorHAnsi" w:hAnsiTheme="minorHAnsi" w:cstheme="minorHAnsi"/>
                <w:b/>
                <w:color w:val="auto"/>
              </w:rPr>
              <w:t>3</w:t>
            </w:r>
            <w:r w:rsidR="0050675F" w:rsidRPr="00032DC7">
              <w:rPr>
                <w:rFonts w:asciiTheme="minorHAnsi" w:hAnsiTheme="minorHAnsi" w:cstheme="minorHAnsi"/>
                <w:b/>
                <w:color w:val="auto"/>
              </w:rPr>
              <w:t xml:space="preserve">:00 hod.) </w:t>
            </w:r>
          </w:p>
        </w:tc>
      </w:tr>
      <w:tr w:rsidR="00203B3D" w:rsidRPr="00382B3C">
        <w:trPr>
          <w:trHeight w:val="293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Termín uzávěrky příjmu žádostí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032DC7" w:rsidRDefault="00FA7C3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F84CB4">
              <w:rPr>
                <w:rFonts w:asciiTheme="minorHAnsi" w:hAnsiTheme="minorHAnsi" w:cstheme="minorHAnsi"/>
                <w:b/>
                <w:color w:val="FF0000"/>
              </w:rPr>
              <w:t>30</w:t>
            </w:r>
            <w:r w:rsidR="0050675F" w:rsidRPr="00F84CB4">
              <w:rPr>
                <w:rFonts w:asciiTheme="minorHAnsi" w:hAnsiTheme="minorHAnsi" w:cstheme="minorHAnsi"/>
                <w:b/>
                <w:color w:val="FF0000"/>
              </w:rPr>
              <w:t>.</w:t>
            </w:r>
            <w:r w:rsidRPr="00F84CB4">
              <w:rPr>
                <w:rFonts w:asciiTheme="minorHAnsi" w:hAnsiTheme="minorHAnsi" w:cstheme="minorHAnsi"/>
                <w:b/>
                <w:color w:val="FF0000"/>
              </w:rPr>
              <w:t>09</w:t>
            </w:r>
            <w:r w:rsidR="0050675F" w:rsidRPr="00F84CB4">
              <w:rPr>
                <w:rFonts w:asciiTheme="minorHAnsi" w:hAnsiTheme="minorHAnsi" w:cstheme="minorHAnsi"/>
                <w:b/>
                <w:color w:val="FF0000"/>
              </w:rPr>
              <w:t>.202</w:t>
            </w:r>
            <w:r w:rsidRPr="00F84CB4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="0050675F" w:rsidRPr="00F84CB4">
              <w:rPr>
                <w:rFonts w:asciiTheme="minorHAnsi" w:hAnsiTheme="minorHAnsi" w:cstheme="minorHAnsi"/>
                <w:b/>
                <w:color w:val="FF0000"/>
              </w:rPr>
              <w:t xml:space="preserve"> (15:00 hod.) </w:t>
            </w:r>
          </w:p>
        </w:tc>
      </w:tr>
      <w:tr w:rsidR="00203B3D" w:rsidRPr="00382B3C">
        <w:trPr>
          <w:trHeight w:val="54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Předpokládaný konec hodnocení žádostí odbornou komisí, zveřejnění výsledků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FA7C3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3</w:t>
            </w:r>
            <w:r w:rsidR="00066AD0" w:rsidRPr="00382B3C">
              <w:rPr>
                <w:rFonts w:asciiTheme="minorHAnsi" w:hAnsiTheme="minorHAnsi" w:cstheme="minorHAnsi"/>
                <w:color w:val="auto"/>
              </w:rPr>
              <w:t>1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>.03.202</w:t>
            </w:r>
            <w:r w:rsidRPr="00382B3C">
              <w:rPr>
                <w:rFonts w:asciiTheme="minorHAnsi" w:hAnsiTheme="minorHAnsi" w:cstheme="minorHAnsi"/>
                <w:color w:val="auto"/>
              </w:rPr>
              <w:t>6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203B3D" w:rsidRPr="00382B3C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Předpokládaný termín vydání rozhodnutí o poskytnutí podpory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30.0</w:t>
            </w:r>
            <w:r w:rsidR="00066AD0" w:rsidRPr="00382B3C">
              <w:rPr>
                <w:rFonts w:asciiTheme="minorHAnsi" w:hAnsiTheme="minorHAnsi" w:cstheme="minorHAnsi"/>
                <w:color w:val="auto"/>
              </w:rPr>
              <w:t>6</w:t>
            </w:r>
            <w:r w:rsidRPr="00382B3C">
              <w:rPr>
                <w:rFonts w:asciiTheme="minorHAnsi" w:hAnsiTheme="minorHAnsi" w:cstheme="minorHAnsi"/>
                <w:color w:val="auto"/>
              </w:rPr>
              <w:t>.202</w:t>
            </w:r>
            <w:r w:rsidR="00FA7C3E" w:rsidRPr="00382B3C">
              <w:rPr>
                <w:rFonts w:asciiTheme="minorHAnsi" w:hAnsiTheme="minorHAnsi" w:cstheme="minorHAnsi"/>
                <w:color w:val="auto"/>
              </w:rPr>
              <w:t>6</w:t>
            </w:r>
            <w:r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203B3D" w:rsidRPr="00382B3C">
        <w:trPr>
          <w:trHeight w:val="293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Ukončení realizace projektů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31.12.202</w:t>
            </w:r>
            <w:r w:rsidR="00FA7C3E" w:rsidRPr="00382B3C">
              <w:rPr>
                <w:rFonts w:asciiTheme="minorHAnsi" w:hAnsiTheme="minorHAnsi" w:cstheme="minorHAnsi"/>
                <w:color w:val="auto"/>
              </w:rPr>
              <w:t>6</w:t>
            </w:r>
            <w:r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203B3D" w:rsidRPr="00382B3C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Odevzdání závěrečné zprávy projektu a vyúčtování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FA7C3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22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>.01.202</w:t>
            </w:r>
            <w:r w:rsidRPr="00382B3C">
              <w:rPr>
                <w:rFonts w:asciiTheme="minorHAnsi" w:hAnsiTheme="minorHAnsi" w:cstheme="minorHAnsi"/>
                <w:color w:val="auto"/>
              </w:rPr>
              <w:t>7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:rsidR="00203B3D" w:rsidRPr="00F70D27" w:rsidRDefault="0050675F" w:rsidP="005767AF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7" w:name="_Toc203367678"/>
      <w:r w:rsidRPr="00F70D27">
        <w:rPr>
          <w:rFonts w:asciiTheme="minorHAnsi" w:hAnsiTheme="minorHAnsi" w:cstheme="minorHAnsi"/>
          <w:sz w:val="24"/>
          <w:szCs w:val="24"/>
        </w:rPr>
        <w:lastRenderedPageBreak/>
        <w:t>6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. Podání žádosti</w:t>
      </w:r>
      <w:bookmarkEnd w:id="7"/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Žádosti včetně všech povinných i nepovinných příloh se podávají v termínech dle harmonogramu výzvy, a to elektronicky prostřednictvím Dotačního portálu Ministerstva kultury (dále jen „DPMK“). Žádosti podané jiným způsobem, či v jiném, než uvedeném termínu pro podání nebudou přijaty k dalšímu zpracování. </w:t>
      </w:r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Žádosti musí být zpracovány v českém jazyce v předepsaném formátu a předkládaný rozpočet musí být uveden v českých korunách. </w:t>
      </w:r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Podáním žádosti se rozumí elektronické podání žádosti prostřednictvím DPMK, do kterého se žadatelé přihlašují prostřednictvím webového portálu</w:t>
      </w:r>
      <w:hyperlink r:id="rId8">
        <w:r w:rsidRPr="00382B3C">
          <w:rPr>
            <w:rFonts w:asciiTheme="minorHAnsi" w:hAnsiTheme="minorHAnsi" w:cstheme="minorHAnsi"/>
            <w:color w:val="auto"/>
          </w:rPr>
          <w:t xml:space="preserve">: </w:t>
        </w:r>
      </w:hyperlink>
      <w:hyperlink r:id="rId9">
        <w:r w:rsidRPr="00382B3C">
          <w:rPr>
            <w:rFonts w:asciiTheme="minorHAnsi" w:hAnsiTheme="minorHAnsi" w:cstheme="minorHAnsi"/>
            <w:color w:val="auto"/>
            <w:u w:val="single" w:color="0563C1"/>
          </w:rPr>
          <w:t>https://dpmkportal.mkcr.cz/default</w:t>
        </w:r>
      </w:hyperlink>
      <w:hyperlink r:id="rId10">
        <w:r w:rsidRPr="00382B3C">
          <w:rPr>
            <w:rFonts w:asciiTheme="minorHAnsi" w:hAnsiTheme="minorHAnsi" w:cstheme="minorHAnsi"/>
            <w:color w:val="auto"/>
          </w:rPr>
          <w:t>.</w:t>
        </w:r>
      </w:hyperlink>
      <w:r w:rsidRPr="00382B3C">
        <w:rPr>
          <w:rFonts w:asciiTheme="minorHAnsi" w:hAnsiTheme="minorHAnsi" w:cstheme="minorHAnsi"/>
          <w:color w:val="auto"/>
        </w:rPr>
        <w:t xml:space="preserve"> </w:t>
      </w:r>
    </w:p>
    <w:p w:rsidR="00203B3D" w:rsidRPr="00382B3C" w:rsidRDefault="0050675F" w:rsidP="00186E26">
      <w:pPr>
        <w:numPr>
          <w:ilvl w:val="0"/>
          <w:numId w:val="6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Datum podání žádosti se shoduje s datem podání žádosti v systému. </w:t>
      </w:r>
    </w:p>
    <w:p w:rsidR="00203B3D" w:rsidRPr="00382B3C" w:rsidRDefault="0050675F" w:rsidP="00186E26">
      <w:pPr>
        <w:numPr>
          <w:ilvl w:val="0"/>
          <w:numId w:val="6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Při prvním přihlášení se za žadatele do DPMK hlásí statutární orgán nebo zmocněnec (dále jen prvotní oprávněný uživatel) přes tzv. e-identitu (NIA, více na: </w:t>
      </w:r>
      <w:hyperlink r:id="rId11">
        <w:r w:rsidRPr="00382B3C">
          <w:rPr>
            <w:rFonts w:asciiTheme="minorHAnsi" w:hAnsiTheme="minorHAnsi" w:cstheme="minorHAnsi"/>
            <w:color w:val="auto"/>
            <w:u w:val="single" w:color="0563C1"/>
          </w:rPr>
          <w:t>https://www.identitaobcana.cz/Home</w:t>
        </w:r>
      </w:hyperlink>
      <w:hyperlink r:id="rId12">
        <w:r w:rsidRPr="00382B3C">
          <w:rPr>
            <w:rFonts w:asciiTheme="minorHAnsi" w:hAnsiTheme="minorHAnsi" w:cstheme="minorHAnsi"/>
            <w:color w:val="auto"/>
          </w:rPr>
          <w:t>)</w:t>
        </w:r>
      </w:hyperlink>
      <w:r w:rsidRPr="00382B3C">
        <w:rPr>
          <w:rFonts w:asciiTheme="minorHAnsi" w:hAnsiTheme="minorHAnsi" w:cstheme="minorHAnsi"/>
          <w:color w:val="auto"/>
        </w:rPr>
        <w:t>, která se váže ke konkrétní fyzické osobě. Prvotní oprávněný uživatel následně zaregistruje žadatele (právnickou osobu</w:t>
      </w:r>
      <w:r w:rsidR="00A75D54" w:rsidRPr="00382B3C">
        <w:rPr>
          <w:rFonts w:asciiTheme="minorHAnsi" w:hAnsiTheme="minorHAnsi" w:cstheme="minorHAnsi"/>
          <w:color w:val="auto"/>
        </w:rPr>
        <w:t>)</w:t>
      </w:r>
      <w:r w:rsidRPr="00382B3C">
        <w:rPr>
          <w:rFonts w:asciiTheme="minorHAnsi" w:hAnsiTheme="minorHAnsi" w:cstheme="minorHAnsi"/>
          <w:color w:val="auto"/>
        </w:rPr>
        <w:t xml:space="preserve">, tzn. zadá základní údaje o žadateli do DPMK. Každý subjekt může být v DPMK registrován pouze jednou, žádost pak může podat ve všech výzvách DPMK, v nichž je oprávněným žadatelem. </w:t>
      </w:r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Pro přístup do DPMK je vždy potřeba e-identita konkrétní fyzické osoby a funkční e-mailová schránka, na kterou budou zasílány notifikace</w:t>
      </w:r>
      <w:r w:rsidRPr="006C29AD">
        <w:rPr>
          <w:rFonts w:asciiTheme="minorHAnsi" w:hAnsiTheme="minorHAnsi" w:cstheme="minorHAnsi"/>
          <w:color w:val="auto"/>
        </w:rPr>
        <w:t xml:space="preserve">. Jedna fyzická osoba může být spojena </w:t>
      </w:r>
      <w:r w:rsidR="00A75D54" w:rsidRPr="006C29AD">
        <w:rPr>
          <w:rFonts w:asciiTheme="minorHAnsi" w:hAnsiTheme="minorHAnsi" w:cstheme="minorHAnsi"/>
          <w:color w:val="auto"/>
        </w:rPr>
        <w:t>pouze s</w:t>
      </w:r>
      <w:r w:rsidR="006620B1" w:rsidRPr="006C29AD">
        <w:rPr>
          <w:rFonts w:asciiTheme="minorHAnsi" w:hAnsiTheme="minorHAnsi" w:cstheme="minorHAnsi"/>
          <w:color w:val="auto"/>
        </w:rPr>
        <w:t> </w:t>
      </w:r>
      <w:r w:rsidRPr="006C29AD">
        <w:rPr>
          <w:rFonts w:asciiTheme="minorHAnsi" w:hAnsiTheme="minorHAnsi" w:cstheme="minorHAnsi"/>
          <w:color w:val="auto"/>
        </w:rPr>
        <w:t>jednou e-mailovou adresou, ačkoli administruje žádosti různých žadatelů</w:t>
      </w:r>
      <w:r w:rsidRPr="00382B3C">
        <w:rPr>
          <w:rFonts w:asciiTheme="minorHAnsi" w:hAnsiTheme="minorHAnsi" w:cstheme="minorHAnsi"/>
          <w:color w:val="auto"/>
        </w:rPr>
        <w:t xml:space="preserve">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 </w:t>
      </w:r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 </w:t>
      </w:r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Žádost může podat jen oprávněný uživatel (statutární orgán nebo zmocněnec, který je doložen plnou moci).  </w:t>
      </w:r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Žádosti podané k tomu neoprávněnými uživateli budou vyřazeny z formálních důvodů.  </w:t>
      </w:r>
    </w:p>
    <w:p w:rsidR="00203B3D" w:rsidRPr="00382B3C" w:rsidRDefault="0050675F">
      <w:pPr>
        <w:numPr>
          <w:ilvl w:val="0"/>
          <w:numId w:val="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 </w:t>
      </w:r>
    </w:p>
    <w:p w:rsidR="00203B3D" w:rsidRPr="00382B3C" w:rsidRDefault="0050675F">
      <w:pPr>
        <w:numPr>
          <w:ilvl w:val="0"/>
          <w:numId w:val="6"/>
        </w:numPr>
        <w:spacing w:after="9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V případě technických potíží je žadatel povinen provést snímek obrazovky, ze kterého bude patrná technická závada a následně kontaktovat technickou podporu uvedenou v bodě 19. Snímkem obrazovky se rozumí snímek celé obrazovky elektronického zařízení (nikoliv pouze okno prohlížeče) tak, aby bylo viditelné datum a čas pořízení snímku i přihlášený uživatel. </w:t>
      </w:r>
    </w:p>
    <w:p w:rsidR="002779E3" w:rsidRPr="00382B3C" w:rsidRDefault="002779E3" w:rsidP="002779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  <w:color w:val="auto"/>
        </w:rPr>
      </w:pPr>
    </w:p>
    <w:p w:rsidR="00477B1D" w:rsidRDefault="00477B1D" w:rsidP="00382B3C">
      <w:pPr>
        <w:pStyle w:val="Nadpis1"/>
        <w:spacing w:after="120"/>
        <w:rPr>
          <w:rFonts w:asciiTheme="minorHAnsi" w:hAnsiTheme="minorHAnsi" w:cstheme="minorHAnsi"/>
          <w:sz w:val="24"/>
          <w:szCs w:val="24"/>
        </w:rPr>
      </w:pPr>
      <w:bookmarkStart w:id="8" w:name="_Toc203367679"/>
    </w:p>
    <w:p w:rsidR="00203B3D" w:rsidRPr="00F70D27" w:rsidRDefault="00FE3627" w:rsidP="00477B1D">
      <w:pPr>
        <w:pStyle w:val="Nadpis1"/>
        <w:spacing w:after="120"/>
        <w:rPr>
          <w:rStyle w:val="Nadpis1Char"/>
          <w:rFonts w:asciiTheme="minorHAnsi" w:hAnsiTheme="minorHAnsi" w:cstheme="minorHAnsi"/>
          <w:sz w:val="24"/>
          <w:szCs w:val="24"/>
        </w:rPr>
      </w:pPr>
      <w:r w:rsidRPr="00F70D27">
        <w:rPr>
          <w:rFonts w:asciiTheme="minorHAnsi" w:hAnsiTheme="minorHAnsi" w:cstheme="minorHAnsi"/>
          <w:sz w:val="24"/>
          <w:szCs w:val="24"/>
        </w:rPr>
        <w:t>7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. P</w:t>
      </w:r>
      <w:r w:rsidR="0050675F" w:rsidRPr="00F70D27">
        <w:rPr>
          <w:rStyle w:val="Nadpis1Char"/>
          <w:rFonts w:asciiTheme="minorHAnsi" w:hAnsiTheme="minorHAnsi" w:cstheme="minorHAnsi"/>
          <w:sz w:val="24"/>
          <w:szCs w:val="24"/>
        </w:rPr>
        <w:t>ovinné náležitosti žádosti o dotaci</w:t>
      </w:r>
      <w:bookmarkEnd w:id="8"/>
      <w:r w:rsidR="0050675F" w:rsidRPr="00F70D27">
        <w:rPr>
          <w:rStyle w:val="Nadpis1Char"/>
          <w:rFonts w:asciiTheme="minorHAnsi" w:hAnsiTheme="minorHAnsi" w:cstheme="minorHAnsi"/>
          <w:sz w:val="24"/>
          <w:szCs w:val="24"/>
        </w:rPr>
        <w:t xml:space="preserve"> </w:t>
      </w:r>
    </w:p>
    <w:p w:rsidR="00203B3D" w:rsidRPr="00F70D27" w:rsidRDefault="0050675F" w:rsidP="00E333B1">
      <w:pPr>
        <w:pStyle w:val="Nadpis2"/>
        <w:rPr>
          <w:rFonts w:asciiTheme="minorHAnsi" w:hAnsiTheme="minorHAnsi" w:cstheme="minorHAnsi"/>
          <w:b/>
          <w:sz w:val="22"/>
        </w:rPr>
      </w:pPr>
      <w:bookmarkStart w:id="9" w:name="_Toc203367680"/>
      <w:r w:rsidRPr="00F70D27">
        <w:rPr>
          <w:rFonts w:asciiTheme="minorHAnsi" w:hAnsiTheme="minorHAnsi" w:cstheme="minorHAnsi"/>
          <w:b/>
          <w:sz w:val="22"/>
        </w:rPr>
        <w:t xml:space="preserve">7.1. </w:t>
      </w:r>
      <w:r w:rsidRPr="00F70D27">
        <w:rPr>
          <w:rStyle w:val="Nadpis2Char"/>
          <w:rFonts w:asciiTheme="minorHAnsi" w:hAnsiTheme="minorHAnsi" w:cstheme="minorHAnsi"/>
          <w:b/>
          <w:color w:val="auto"/>
          <w:sz w:val="22"/>
        </w:rPr>
        <w:t>Žádost</w:t>
      </w:r>
      <w:bookmarkEnd w:id="9"/>
      <w:r w:rsidRPr="00F70D27">
        <w:rPr>
          <w:rFonts w:asciiTheme="minorHAnsi" w:hAnsiTheme="minorHAnsi" w:cstheme="minorHAnsi"/>
          <w:b/>
          <w:sz w:val="22"/>
        </w:rPr>
        <w:t xml:space="preserve">  </w:t>
      </w:r>
    </w:p>
    <w:p w:rsidR="00F37274" w:rsidRPr="00382B3C" w:rsidRDefault="005F0F74" w:rsidP="00F37274">
      <w:pPr>
        <w:pStyle w:val="Odstavecseseznamem"/>
        <w:numPr>
          <w:ilvl w:val="0"/>
          <w:numId w:val="30"/>
        </w:numPr>
        <w:spacing w:after="160" w:line="259" w:lineRule="auto"/>
        <w:ind w:left="714" w:right="0" w:hanging="357"/>
        <w:contextualSpacing w:val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Žádost včetně základních údajů o žadateli, vlastnické struktuře žadatele, údajích o projektu, rozpočtu, zdrojů financování a čestného prohlášení vyplněná ve formuláři DPMK.</w:t>
      </w:r>
    </w:p>
    <w:p w:rsidR="005F0F74" w:rsidRPr="00382B3C" w:rsidRDefault="005F0F74" w:rsidP="004A6015">
      <w:pPr>
        <w:pStyle w:val="Odstavecseseznamem"/>
        <w:numPr>
          <w:ilvl w:val="0"/>
          <w:numId w:val="30"/>
        </w:numPr>
        <w:spacing w:after="0" w:line="259" w:lineRule="auto"/>
        <w:ind w:left="714" w:right="0" w:hanging="357"/>
        <w:contextualSpacing w:val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Údaje o projektu</w:t>
      </w:r>
      <w:r w:rsidR="00A00252" w:rsidRPr="00382B3C">
        <w:rPr>
          <w:rFonts w:asciiTheme="minorHAnsi" w:hAnsiTheme="minorHAnsi" w:cstheme="minorHAnsi"/>
          <w:color w:val="auto"/>
        </w:rPr>
        <w:t>:</w:t>
      </w:r>
    </w:p>
    <w:p w:rsidR="00FB6251" w:rsidRPr="00382B3C" w:rsidRDefault="005F0F74" w:rsidP="00FB6251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1.1 Anotace projektu</w:t>
      </w:r>
    </w:p>
    <w:p w:rsidR="005F0F74" w:rsidRPr="00382B3C" w:rsidRDefault="005F0F74" w:rsidP="00FB6251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1.2 Charakteristika žadatele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2.1 Obsah a cíl projektu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lastRenderedPageBreak/>
        <w:t>2.2 Soulad projektu s vyhlášenou výzvou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2.3 Popis reálné připravenosti projektu – zajištění místo realizace, realizátorů, partnerů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2.4 Způsob realizace projektu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2.5 Popis cílových skupin projektu</w:t>
      </w:r>
    </w:p>
    <w:p w:rsidR="005F0F74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2.6 Popis konkrétních výstupů projektu</w:t>
      </w:r>
    </w:p>
    <w:p w:rsidR="008F7242" w:rsidRPr="008F7242" w:rsidRDefault="008F7242" w:rsidP="008F7242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8F7242">
        <w:t>3.1 Popis uměleckých kvalit, dramaturgie projektu, přínos projektu pro cílovou skupinu, umělecký obor a společnost </w:t>
      </w:r>
    </w:p>
    <w:p w:rsidR="008F7242" w:rsidRPr="008F7242" w:rsidRDefault="008F7242" w:rsidP="008F7242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8F7242">
        <w:t>3.2 Popis, v čem spočívá jedinečnost projektu a jak projekt zvyšuje kvalitu kulturní nabídky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8F7242">
        <w:rPr>
          <w:rFonts w:asciiTheme="minorHAnsi" w:hAnsiTheme="minorHAnsi" w:cstheme="minorHAnsi"/>
          <w:color w:val="auto"/>
        </w:rPr>
        <w:t>4.1 Komentář</w:t>
      </w:r>
      <w:r w:rsidRPr="00382B3C">
        <w:rPr>
          <w:rFonts w:asciiTheme="minorHAnsi" w:hAnsiTheme="minorHAnsi" w:cstheme="minorHAnsi"/>
          <w:color w:val="auto"/>
        </w:rPr>
        <w:t xml:space="preserve"> k rozpočtu, odůvodnění nákladů, nezbytnosti položek v rozpočtu a</w:t>
      </w:r>
      <w:r w:rsidR="008F7242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přiměřenosti a hospodárnosti rozpočtu</w:t>
      </w:r>
    </w:p>
    <w:p w:rsidR="005F0F74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4.2 Komentář k dalším finančním zdrojům projektu</w:t>
      </w:r>
    </w:p>
    <w:p w:rsidR="008F7242" w:rsidRPr="008F7242" w:rsidRDefault="008F7242" w:rsidP="008F7242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8F7242">
        <w:t>4.3 Popis finanční udržitelnosti projektu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5.1 Stručné shrnutí předchozích aktivit žadatele v dané oblasti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5.2 Celkový časový harmonogram projektu deklarující efektivní manažerský plán, komunikační strategii, produkční přípravu a případně veřejné produkce</w:t>
      </w:r>
    </w:p>
    <w:p w:rsidR="005F0F74" w:rsidRPr="00382B3C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5.3 Popis společenského ohlasu projektu (pokud má projekt historii) nebo dosavadní činnosti </w:t>
      </w:r>
      <w:r w:rsidR="00FB6251" w:rsidRPr="00382B3C">
        <w:rPr>
          <w:rFonts w:asciiTheme="minorHAnsi" w:hAnsiTheme="minorHAnsi" w:cstheme="minorHAnsi"/>
          <w:color w:val="auto"/>
        </w:rPr>
        <w:t>Žadatele</w:t>
      </w:r>
    </w:p>
    <w:p w:rsidR="00FB6251" w:rsidRPr="00382B3C" w:rsidRDefault="005F0F74" w:rsidP="00FB6251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6.1 Popis odborné kvality tvůrčího týmu</w:t>
      </w:r>
    </w:p>
    <w:p w:rsidR="00203B3D" w:rsidRPr="00382B3C" w:rsidRDefault="005F0F74" w:rsidP="00A00252">
      <w:pPr>
        <w:pStyle w:val="Odstavecseseznamem"/>
        <w:numPr>
          <w:ilvl w:val="0"/>
          <w:numId w:val="29"/>
        </w:numPr>
        <w:spacing w:after="160" w:line="259" w:lineRule="auto"/>
        <w:ind w:left="1066" w:right="0" w:hanging="357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7.</w:t>
      </w:r>
      <w:r w:rsidR="00FB6251" w:rsidRPr="00382B3C">
        <w:rPr>
          <w:rFonts w:asciiTheme="minorHAnsi" w:hAnsiTheme="minorHAnsi" w:cstheme="minorHAnsi"/>
          <w:color w:val="auto"/>
        </w:rPr>
        <w:t>1</w:t>
      </w:r>
      <w:r w:rsidRPr="00382B3C">
        <w:rPr>
          <w:rFonts w:asciiTheme="minorHAnsi" w:hAnsiTheme="minorHAnsi" w:cstheme="minorHAnsi"/>
          <w:color w:val="auto"/>
        </w:rPr>
        <w:t xml:space="preserve"> </w:t>
      </w:r>
      <w:r w:rsidR="00FB6251" w:rsidRPr="00382B3C">
        <w:rPr>
          <w:rFonts w:asciiTheme="minorHAnsi" w:hAnsiTheme="minorHAnsi" w:cstheme="minorHAnsi"/>
          <w:color w:val="auto"/>
        </w:rPr>
        <w:t>K</w:t>
      </w:r>
      <w:r w:rsidRPr="00382B3C">
        <w:rPr>
          <w:rFonts w:asciiTheme="minorHAnsi" w:hAnsiTheme="minorHAnsi" w:cstheme="minorHAnsi"/>
          <w:color w:val="auto"/>
        </w:rPr>
        <w:t xml:space="preserve">ontakt na řešitele projektu </w:t>
      </w:r>
      <w:r w:rsidR="00FB6251" w:rsidRPr="00382B3C">
        <w:rPr>
          <w:rFonts w:asciiTheme="minorHAnsi" w:hAnsiTheme="minorHAnsi" w:cstheme="minorHAnsi"/>
          <w:color w:val="auto"/>
        </w:rPr>
        <w:t>a</w:t>
      </w:r>
      <w:r w:rsidRPr="00382B3C">
        <w:rPr>
          <w:rFonts w:asciiTheme="minorHAnsi" w:hAnsiTheme="minorHAnsi" w:cstheme="minorHAnsi"/>
          <w:color w:val="auto"/>
        </w:rPr>
        <w:t xml:space="preserve"> datum vzniku právnické osoby</w:t>
      </w:r>
    </w:p>
    <w:p w:rsidR="00AA3428" w:rsidRPr="00382B3C" w:rsidRDefault="00AA3428" w:rsidP="00AA3428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7.2 Termín konání akce </w:t>
      </w:r>
    </w:p>
    <w:p w:rsidR="00AA3428" w:rsidRPr="00382B3C" w:rsidRDefault="00AA3428" w:rsidP="00B45838">
      <w:pPr>
        <w:pStyle w:val="Odstavecseseznamem"/>
        <w:numPr>
          <w:ilvl w:val="0"/>
          <w:numId w:val="29"/>
        </w:numPr>
        <w:spacing w:after="24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7.3 Okres</w:t>
      </w:r>
    </w:p>
    <w:p w:rsidR="00203B3D" w:rsidRPr="00382B3C" w:rsidRDefault="0050675F" w:rsidP="004C7813">
      <w:pPr>
        <w:numPr>
          <w:ilvl w:val="0"/>
          <w:numId w:val="8"/>
        </w:numPr>
        <w:spacing w:after="12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Indikátory: </w:t>
      </w:r>
    </w:p>
    <w:p w:rsidR="00203B3D" w:rsidRPr="00382B3C" w:rsidRDefault="00AA3428">
      <w:pPr>
        <w:numPr>
          <w:ilvl w:val="1"/>
          <w:numId w:val="8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eastAsia="Times New Roman" w:hAnsiTheme="minorHAnsi" w:cstheme="minorHAnsi"/>
          <w:color w:val="auto"/>
        </w:rPr>
        <w:t>NV-A-01- Počet akcí</w:t>
      </w:r>
      <w:r w:rsidR="0050675F" w:rsidRPr="00382B3C">
        <w:rPr>
          <w:rFonts w:asciiTheme="minorHAnsi" w:hAnsiTheme="minorHAnsi" w:cstheme="minorHAnsi"/>
          <w:color w:val="auto"/>
        </w:rPr>
        <w:t xml:space="preserve"> </w:t>
      </w:r>
    </w:p>
    <w:p w:rsidR="00203B3D" w:rsidRPr="00382B3C" w:rsidRDefault="0050675F" w:rsidP="00477B1D">
      <w:pPr>
        <w:numPr>
          <w:ilvl w:val="0"/>
          <w:numId w:val="8"/>
        </w:numPr>
        <w:spacing w:after="12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Personální zajištění projektu </w:t>
      </w:r>
    </w:p>
    <w:p w:rsidR="00203B3D" w:rsidRPr="00382B3C" w:rsidRDefault="0050675F" w:rsidP="00477B1D">
      <w:pPr>
        <w:numPr>
          <w:ilvl w:val="0"/>
          <w:numId w:val="8"/>
        </w:numPr>
        <w:spacing w:after="12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Spolupracující organizace </w:t>
      </w:r>
    </w:p>
    <w:p w:rsidR="00AA3428" w:rsidRPr="00382B3C" w:rsidRDefault="00AA3428" w:rsidP="00477B1D">
      <w:pPr>
        <w:numPr>
          <w:ilvl w:val="0"/>
          <w:numId w:val="8"/>
        </w:numPr>
        <w:spacing w:after="12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Dříve realizované projekty</w:t>
      </w:r>
      <w:r w:rsidR="00AC50C2">
        <w:rPr>
          <w:rFonts w:asciiTheme="minorHAnsi" w:hAnsiTheme="minorHAnsi" w:cstheme="minorHAnsi"/>
          <w:color w:val="auto"/>
        </w:rPr>
        <w:t xml:space="preserve"> (pokud žadatel podává projekt poprvé)</w:t>
      </w:r>
    </w:p>
    <w:p w:rsidR="00203B3D" w:rsidRPr="00382B3C" w:rsidRDefault="0050675F" w:rsidP="00477B1D">
      <w:pPr>
        <w:numPr>
          <w:ilvl w:val="0"/>
          <w:numId w:val="9"/>
        </w:numPr>
        <w:spacing w:after="120"/>
        <w:ind w:left="709" w:right="0" w:hanging="364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Předchozí dotace a další zdroje příjmů </w:t>
      </w:r>
    </w:p>
    <w:p w:rsidR="00203B3D" w:rsidRPr="00382B3C" w:rsidRDefault="0050675F" w:rsidP="00477B1D">
      <w:pPr>
        <w:numPr>
          <w:ilvl w:val="0"/>
          <w:numId w:val="9"/>
        </w:numPr>
        <w:spacing w:after="120" w:line="259" w:lineRule="auto"/>
        <w:ind w:left="709" w:right="0" w:hanging="364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Rozpočet projektu </w:t>
      </w:r>
    </w:p>
    <w:p w:rsidR="00203B3D" w:rsidRPr="00382B3C" w:rsidRDefault="0050675F" w:rsidP="00951C86">
      <w:pPr>
        <w:numPr>
          <w:ilvl w:val="0"/>
          <w:numId w:val="9"/>
        </w:numPr>
        <w:spacing w:after="0"/>
        <w:ind w:left="709" w:right="0" w:hanging="364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Zdroje financování </w:t>
      </w:r>
    </w:p>
    <w:p w:rsidR="00745FB1" w:rsidRPr="00382B3C" w:rsidRDefault="00745FB1" w:rsidP="002F5B76">
      <w:pPr>
        <w:pStyle w:val="Nadpis3"/>
        <w:spacing w:after="0" w:line="259" w:lineRule="auto"/>
        <w:ind w:left="-5" w:right="0"/>
        <w:rPr>
          <w:rFonts w:asciiTheme="minorHAnsi" w:hAnsiTheme="minorHAnsi" w:cstheme="minorHAnsi"/>
          <w:b w:val="0"/>
          <w:color w:val="auto"/>
          <w:sz w:val="22"/>
        </w:rPr>
      </w:pPr>
    </w:p>
    <w:p w:rsidR="00203B3D" w:rsidRPr="00F70D27" w:rsidRDefault="0050675F" w:rsidP="00E333B1">
      <w:pPr>
        <w:pStyle w:val="Nadpis2"/>
        <w:rPr>
          <w:rFonts w:asciiTheme="minorHAnsi" w:hAnsiTheme="minorHAnsi" w:cstheme="minorHAnsi"/>
          <w:b/>
          <w:sz w:val="22"/>
        </w:rPr>
      </w:pPr>
      <w:bookmarkStart w:id="10" w:name="_Toc203367681"/>
      <w:r w:rsidRPr="00F70D27">
        <w:rPr>
          <w:rFonts w:asciiTheme="minorHAnsi" w:hAnsiTheme="minorHAnsi" w:cstheme="minorHAnsi"/>
          <w:b/>
          <w:sz w:val="22"/>
        </w:rPr>
        <w:t xml:space="preserve">7.2. </w:t>
      </w:r>
      <w:r w:rsidRPr="00F70D27">
        <w:rPr>
          <w:rStyle w:val="Nadpis2Char"/>
          <w:rFonts w:asciiTheme="minorHAnsi" w:hAnsiTheme="minorHAnsi" w:cstheme="minorHAnsi"/>
          <w:b/>
          <w:color w:val="auto"/>
          <w:sz w:val="22"/>
        </w:rPr>
        <w:t>Povinné přílohy</w:t>
      </w:r>
      <w:bookmarkEnd w:id="10"/>
      <w:r w:rsidRPr="00F70D27">
        <w:rPr>
          <w:rFonts w:asciiTheme="minorHAnsi" w:hAnsiTheme="minorHAnsi" w:cstheme="minorHAnsi"/>
          <w:b/>
          <w:sz w:val="22"/>
        </w:rPr>
        <w:t xml:space="preserve"> </w:t>
      </w:r>
    </w:p>
    <w:p w:rsidR="005C4201" w:rsidRPr="005C4201" w:rsidRDefault="0091111E" w:rsidP="005C4201">
      <w:pPr>
        <w:numPr>
          <w:ilvl w:val="0"/>
          <w:numId w:val="1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Položkový rozpočet s komentářem</w:t>
      </w:r>
      <w:r w:rsidR="0050675F" w:rsidRPr="00382B3C">
        <w:rPr>
          <w:rFonts w:asciiTheme="minorHAnsi" w:hAnsiTheme="minorHAnsi" w:cstheme="minorHAnsi"/>
          <w:color w:val="auto"/>
        </w:rPr>
        <w:t xml:space="preserve"> ve formátu .</w:t>
      </w:r>
      <w:proofErr w:type="spellStart"/>
      <w:r w:rsidR="0050675F" w:rsidRPr="00382B3C">
        <w:rPr>
          <w:rFonts w:asciiTheme="minorHAnsi" w:hAnsiTheme="minorHAnsi" w:cstheme="minorHAnsi"/>
          <w:color w:val="auto"/>
        </w:rPr>
        <w:t>xlsx</w:t>
      </w:r>
      <w:proofErr w:type="spellEnd"/>
      <w:r w:rsidR="0050675F" w:rsidRPr="00382B3C">
        <w:rPr>
          <w:rFonts w:asciiTheme="minorHAnsi" w:hAnsiTheme="minorHAnsi" w:cstheme="minorHAnsi"/>
          <w:color w:val="auto"/>
        </w:rPr>
        <w:t xml:space="preserve"> </w:t>
      </w:r>
    </w:p>
    <w:p w:rsidR="005C4201" w:rsidRPr="005C4201" w:rsidRDefault="005C4201" w:rsidP="005C4201">
      <w:pPr>
        <w:pStyle w:val="Odstavecseseznamem"/>
        <w:numPr>
          <w:ilvl w:val="1"/>
          <w:numId w:val="10"/>
        </w:numPr>
        <w:ind w:hanging="371"/>
        <w:rPr>
          <w:rFonts w:asciiTheme="minorHAnsi" w:hAnsiTheme="minorHAnsi" w:cstheme="minorHAnsi"/>
          <w:color w:val="auto"/>
        </w:rPr>
      </w:pPr>
      <w:r w:rsidRPr="005C4201">
        <w:rPr>
          <w:rFonts w:asciiTheme="minorHAnsi" w:hAnsiTheme="minorHAnsi" w:cstheme="minorHAnsi"/>
          <w:color w:val="auto"/>
        </w:rPr>
        <w:t>stáhněte si vzor připravený v portálu</w:t>
      </w:r>
    </w:p>
    <w:p w:rsidR="005C4201" w:rsidRPr="005C4201" w:rsidRDefault="0050675F" w:rsidP="005C4201">
      <w:pPr>
        <w:numPr>
          <w:ilvl w:val="1"/>
          <w:numId w:val="10"/>
        </w:numPr>
        <w:spacing w:after="1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Položky rozpočtu je nutné v</w:t>
      </w:r>
      <w:r w:rsidR="0091111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komentáři</w:t>
      </w:r>
      <w:r w:rsidR="0091111E" w:rsidRPr="00382B3C">
        <w:rPr>
          <w:rFonts w:asciiTheme="minorHAnsi" w:hAnsiTheme="minorHAnsi" w:cstheme="minorHAnsi"/>
          <w:color w:val="auto"/>
        </w:rPr>
        <w:t xml:space="preserve"> odůvodnit a podrobně</w:t>
      </w:r>
      <w:r w:rsidRPr="00382B3C">
        <w:rPr>
          <w:rFonts w:asciiTheme="minorHAnsi" w:hAnsiTheme="minorHAnsi" w:cstheme="minorHAnsi"/>
          <w:color w:val="auto"/>
        </w:rPr>
        <w:t xml:space="preserve"> popsat. Personální náklady musí být specifikovány na základě obsahu a rozsahu projektu. </w:t>
      </w:r>
    </w:p>
    <w:p w:rsidR="00203B3D" w:rsidRPr="00382B3C" w:rsidRDefault="0050675F">
      <w:pPr>
        <w:numPr>
          <w:ilvl w:val="0"/>
          <w:numId w:val="1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Doklad o vedení bankovního účtu žadatelem </w:t>
      </w:r>
    </w:p>
    <w:p w:rsidR="00203B3D" w:rsidRPr="00382B3C" w:rsidRDefault="0050675F" w:rsidP="001D3106">
      <w:pPr>
        <w:numPr>
          <w:ilvl w:val="1"/>
          <w:numId w:val="10"/>
        </w:numPr>
        <w:spacing w:after="9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Potvrzení o vedení účtu, výpis z bankovního účtu nebo jiný doklad prokazující vztah žadatele k bankovnímu účtu, na který bude převedena dotace, v případě podpoření projektu. V případě příspěvkových organizací (zřizovaných ministerstvem/krajem/obcí) doloží tato organizace jako žadatel pouze údaje o svém bankovním účtu. </w:t>
      </w:r>
    </w:p>
    <w:p w:rsidR="00203B3D" w:rsidRPr="00382B3C" w:rsidRDefault="0050675F">
      <w:pPr>
        <w:numPr>
          <w:ilvl w:val="0"/>
          <w:numId w:val="1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Úplný výpis z Evidence skutečných majitelů </w:t>
      </w:r>
    </w:p>
    <w:p w:rsidR="00203B3D" w:rsidRPr="00382B3C" w:rsidRDefault="0050675F">
      <w:pPr>
        <w:numPr>
          <w:ilvl w:val="1"/>
          <w:numId w:val="1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Dokument ve formátu .</w:t>
      </w:r>
      <w:proofErr w:type="spellStart"/>
      <w:r w:rsidRPr="00382B3C">
        <w:rPr>
          <w:rFonts w:asciiTheme="minorHAnsi" w:hAnsiTheme="minorHAnsi" w:cstheme="minorHAnsi"/>
          <w:color w:val="auto"/>
        </w:rPr>
        <w:t>pdf</w:t>
      </w:r>
      <w:proofErr w:type="spellEnd"/>
      <w:r w:rsidRPr="00382B3C">
        <w:rPr>
          <w:rFonts w:asciiTheme="minorHAnsi" w:hAnsiTheme="minorHAnsi" w:cstheme="minorHAnsi"/>
          <w:color w:val="auto"/>
        </w:rPr>
        <w:t xml:space="preserve"> elektronicky podepsaný rejstříkovým soudem, nikoli verze pro tisk (v el. evidenci skutečných majitelů se jedná o možnost Přihlásit (vpravo nahoře), nikoli „Vytisknout“ nebo „Stáhnout PDF verzi výpisu“. Po přihlášení datovou schránkou pak lze stáhnout úplný výpis.“). </w:t>
      </w:r>
    </w:p>
    <w:p w:rsidR="00203B3D" w:rsidRPr="00382B3C" w:rsidRDefault="0050675F">
      <w:pPr>
        <w:numPr>
          <w:ilvl w:val="1"/>
          <w:numId w:val="1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lastRenderedPageBreak/>
        <w:t xml:space="preserve">Musí se jednat o úplný výpis, nikoli pouze výpis platných. </w:t>
      </w:r>
    </w:p>
    <w:p w:rsidR="00203B3D" w:rsidRPr="00382B3C" w:rsidRDefault="0050675F">
      <w:pPr>
        <w:numPr>
          <w:ilvl w:val="1"/>
          <w:numId w:val="1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Nedokládají žadatelé dle § 7 zákona č. 37/2021 Sb., o evidenci skutečných majitelů, kteří nemají skutečného majitele (toto se vztahuje mj. na fyzické osoby, státní příspěvkové organizace a příspěvkové organizace územních celků). </w:t>
      </w:r>
    </w:p>
    <w:p w:rsidR="00203B3D" w:rsidRPr="00382B3C" w:rsidRDefault="0050675F" w:rsidP="00186E26">
      <w:pPr>
        <w:numPr>
          <w:ilvl w:val="1"/>
          <w:numId w:val="10"/>
        </w:numPr>
        <w:spacing w:after="1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Návod na získání úplného výpisu z ESM je dostupný na webové stránce výzvy. </w:t>
      </w:r>
    </w:p>
    <w:p w:rsidR="00203B3D" w:rsidRPr="00382B3C" w:rsidRDefault="0050675F">
      <w:pPr>
        <w:numPr>
          <w:ilvl w:val="0"/>
          <w:numId w:val="1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Plná moc (pokud podává žádost zmocněnec, nikoli statutární orgán) </w:t>
      </w:r>
    </w:p>
    <w:p w:rsidR="00203B3D" w:rsidRPr="00382B3C" w:rsidRDefault="0050675F" w:rsidP="000D1D25">
      <w:pPr>
        <w:numPr>
          <w:ilvl w:val="1"/>
          <w:numId w:val="10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dokument ve formátu .</w:t>
      </w:r>
      <w:proofErr w:type="spellStart"/>
      <w:r w:rsidRPr="00382B3C">
        <w:rPr>
          <w:rFonts w:asciiTheme="minorHAnsi" w:hAnsiTheme="minorHAnsi" w:cstheme="minorHAnsi"/>
          <w:color w:val="auto"/>
        </w:rPr>
        <w:t>pdf</w:t>
      </w:r>
      <w:proofErr w:type="spellEnd"/>
      <w:r w:rsidRPr="00382B3C">
        <w:rPr>
          <w:rFonts w:asciiTheme="minorHAnsi" w:hAnsiTheme="minorHAnsi" w:cstheme="minorHAnsi"/>
          <w:color w:val="auto"/>
        </w:rPr>
        <w:t xml:space="preserve"> s elektronickým podpisem statutárního orgánu nebo </w:t>
      </w:r>
    </w:p>
    <w:p w:rsidR="00203B3D" w:rsidRPr="00382B3C" w:rsidRDefault="0050675F" w:rsidP="001D3106">
      <w:pPr>
        <w:numPr>
          <w:ilvl w:val="1"/>
          <w:numId w:val="10"/>
        </w:numPr>
        <w:spacing w:after="9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dokument ve formátu .</w:t>
      </w:r>
      <w:proofErr w:type="spellStart"/>
      <w:r w:rsidRPr="00382B3C">
        <w:rPr>
          <w:rFonts w:asciiTheme="minorHAnsi" w:hAnsiTheme="minorHAnsi" w:cstheme="minorHAnsi"/>
          <w:color w:val="auto"/>
        </w:rPr>
        <w:t>pdf</w:t>
      </w:r>
      <w:proofErr w:type="spellEnd"/>
      <w:r w:rsidRPr="00382B3C">
        <w:rPr>
          <w:rFonts w:asciiTheme="minorHAnsi" w:hAnsiTheme="minorHAnsi" w:cstheme="minorHAnsi"/>
          <w:color w:val="auto"/>
        </w:rP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 w:rsidRPr="00382B3C">
        <w:rPr>
          <w:rFonts w:asciiTheme="minorHAnsi" w:hAnsiTheme="minorHAnsi" w:cstheme="minorHAnsi"/>
          <w:color w:val="auto"/>
        </w:rPr>
        <w:t>CzechPoint</w:t>
      </w:r>
      <w:proofErr w:type="spellEnd"/>
      <w:r w:rsidRPr="00382B3C">
        <w:rPr>
          <w:rFonts w:asciiTheme="minorHAnsi" w:hAnsiTheme="minorHAnsi" w:cstheme="minorHAnsi"/>
          <w:color w:val="auto"/>
        </w:rPr>
        <w:t xml:space="preserve">, notářské a advokátní kanceláře). </w:t>
      </w:r>
    </w:p>
    <w:p w:rsidR="0091111E" w:rsidRPr="00382B3C" w:rsidRDefault="0091111E" w:rsidP="001D3106">
      <w:pPr>
        <w:pStyle w:val="Odstavecseseznamem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bookmarkStart w:id="11" w:name="_Hlk203059652"/>
      <w:r w:rsidRPr="00382B3C">
        <w:rPr>
          <w:rFonts w:asciiTheme="minorHAnsi" w:hAnsiTheme="minorHAnsi" w:cstheme="minorHAnsi"/>
          <w:color w:val="auto"/>
        </w:rPr>
        <w:t xml:space="preserve">Doklad o právní osobnosti žadatele </w:t>
      </w:r>
    </w:p>
    <w:p w:rsidR="0091111E" w:rsidRPr="00382B3C" w:rsidRDefault="0091111E" w:rsidP="0091111E">
      <w:pPr>
        <w:pStyle w:val="Odstavecseseznamem"/>
        <w:numPr>
          <w:ilvl w:val="0"/>
          <w:numId w:val="35"/>
        </w:numPr>
        <w:spacing w:after="160" w:line="259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Doklad o předchozí činnosti</w:t>
      </w:r>
      <w:r w:rsidR="008A47F3">
        <w:rPr>
          <w:rFonts w:asciiTheme="minorHAnsi" w:hAnsiTheme="minorHAnsi" w:cstheme="minorHAnsi"/>
          <w:color w:val="auto"/>
        </w:rPr>
        <w:t xml:space="preserve"> (pokud žadatel podává projekt poprvé)</w:t>
      </w:r>
    </w:p>
    <w:p w:rsidR="000D1D25" w:rsidRPr="00382B3C" w:rsidRDefault="000D1D25" w:rsidP="002F5B76">
      <w:pPr>
        <w:pStyle w:val="Odstavecseseznamem"/>
        <w:numPr>
          <w:ilvl w:val="0"/>
          <w:numId w:val="35"/>
        </w:numPr>
        <w:spacing w:after="0" w:line="259" w:lineRule="auto"/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K projektu obsahujícímu ediční činnost je nutné přiložit odborné posudky dvou prokazatelně nezávislých recenzentů, do rozpočtu uvést náklady na výrobu (na tiskařské práce vč. grafiky, honoráře), rozsah publikace (formát + počet stran), náklad (počet výtisků), informace o</w:t>
      </w:r>
      <w:r w:rsidR="003F2993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způsobu distribuce. </w:t>
      </w:r>
      <w:r w:rsidRPr="00382B3C">
        <w:rPr>
          <w:rFonts w:asciiTheme="minorHAnsi" w:hAnsiTheme="minorHAnsi" w:cstheme="minorHAnsi"/>
          <w:b/>
          <w:color w:val="auto"/>
          <w:u w:val="single"/>
        </w:rPr>
        <w:t xml:space="preserve">Musí být předložen též </w:t>
      </w:r>
      <w:proofErr w:type="gramStart"/>
      <w:r w:rsidRPr="00382B3C">
        <w:rPr>
          <w:rFonts w:asciiTheme="minorHAnsi" w:hAnsiTheme="minorHAnsi" w:cstheme="minorHAnsi"/>
          <w:b/>
          <w:color w:val="auto"/>
          <w:u w:val="single"/>
        </w:rPr>
        <w:t>rukopis</w:t>
      </w:r>
      <w:r w:rsidRPr="00382B3C">
        <w:rPr>
          <w:rFonts w:asciiTheme="minorHAnsi" w:hAnsiTheme="minorHAnsi" w:cstheme="minorHAnsi"/>
          <w:color w:val="auto"/>
        </w:rPr>
        <w:t xml:space="preserve"> </w:t>
      </w:r>
      <w:r w:rsidRPr="00382B3C">
        <w:rPr>
          <w:rFonts w:asciiTheme="minorHAnsi" w:hAnsiTheme="minorHAnsi" w:cstheme="minorHAnsi"/>
          <w:b/>
          <w:color w:val="auto"/>
        </w:rPr>
        <w:t xml:space="preserve">- </w:t>
      </w:r>
      <w:r w:rsidRPr="00382B3C">
        <w:rPr>
          <w:rFonts w:asciiTheme="minorHAnsi" w:hAnsiTheme="minorHAnsi" w:cstheme="minorHAnsi"/>
          <w:color w:val="auto"/>
        </w:rPr>
        <w:t>ve</w:t>
      </w:r>
      <w:proofErr w:type="gramEnd"/>
      <w:r w:rsidRPr="00382B3C">
        <w:rPr>
          <w:rFonts w:asciiTheme="minorHAnsi" w:hAnsiTheme="minorHAnsi" w:cstheme="minorHAnsi"/>
          <w:color w:val="auto"/>
        </w:rPr>
        <w:t xml:space="preserve"> formátu *.doc, *</w:t>
      </w:r>
      <w:proofErr w:type="spellStart"/>
      <w:r w:rsidRPr="00382B3C">
        <w:rPr>
          <w:rFonts w:asciiTheme="minorHAnsi" w:hAnsiTheme="minorHAnsi" w:cstheme="minorHAnsi"/>
          <w:color w:val="auto"/>
        </w:rPr>
        <w:t>docx</w:t>
      </w:r>
      <w:proofErr w:type="spellEnd"/>
    </w:p>
    <w:p w:rsidR="00745FB1" w:rsidRPr="00382B3C" w:rsidRDefault="00745FB1" w:rsidP="00951C86">
      <w:pPr>
        <w:spacing w:after="0" w:line="259" w:lineRule="auto"/>
        <w:ind w:right="0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E333B1">
      <w:pPr>
        <w:pStyle w:val="Nadpis2"/>
        <w:rPr>
          <w:rStyle w:val="Nadpis2Char"/>
          <w:rFonts w:asciiTheme="minorHAnsi" w:hAnsiTheme="minorHAnsi" w:cstheme="minorHAnsi"/>
          <w:b/>
          <w:sz w:val="22"/>
        </w:rPr>
      </w:pPr>
      <w:bookmarkStart w:id="12" w:name="_Toc203367682"/>
      <w:bookmarkEnd w:id="11"/>
      <w:r w:rsidRPr="00F70D27">
        <w:rPr>
          <w:rFonts w:asciiTheme="minorHAnsi" w:hAnsiTheme="minorHAnsi" w:cstheme="minorHAnsi"/>
          <w:b/>
          <w:color w:val="auto"/>
          <w:sz w:val="22"/>
        </w:rPr>
        <w:t xml:space="preserve">7.3. </w:t>
      </w:r>
      <w:r w:rsidRPr="00F70D27">
        <w:rPr>
          <w:rStyle w:val="Nadpis2Char"/>
          <w:rFonts w:asciiTheme="minorHAnsi" w:hAnsiTheme="minorHAnsi" w:cstheme="minorHAnsi"/>
          <w:b/>
          <w:sz w:val="22"/>
        </w:rPr>
        <w:t>Čestné prohlášení</w:t>
      </w:r>
      <w:bookmarkEnd w:id="12"/>
      <w:r w:rsidRPr="00F70D27">
        <w:rPr>
          <w:rStyle w:val="Nadpis2Char"/>
          <w:rFonts w:asciiTheme="minorHAnsi" w:hAnsiTheme="minorHAnsi" w:cstheme="minorHAnsi"/>
          <w:b/>
          <w:sz w:val="22"/>
        </w:rPr>
        <w:t xml:space="preserve"> </w:t>
      </w:r>
    </w:p>
    <w:p w:rsidR="00203B3D" w:rsidRPr="00382B3C" w:rsidRDefault="0050675F">
      <w:pPr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 čestným prohlášením potvrzuje splnění následujících podmínek výzvy: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 podal žádost v souladu s vyhlašovacími podmínkami výzvy.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 podal dle podmínek výzvy maximálně </w:t>
      </w:r>
      <w:r w:rsidR="00496993" w:rsidRPr="006C29AD">
        <w:rPr>
          <w:rFonts w:asciiTheme="minorHAnsi" w:hAnsiTheme="minorHAnsi" w:cstheme="minorHAnsi"/>
          <w:color w:val="auto"/>
        </w:rPr>
        <w:t>2</w:t>
      </w:r>
      <w:r w:rsidRPr="006C29AD">
        <w:rPr>
          <w:rFonts w:asciiTheme="minorHAnsi" w:hAnsiTheme="minorHAnsi" w:cstheme="minorHAnsi"/>
          <w:color w:val="auto"/>
        </w:rPr>
        <w:t xml:space="preserve"> žádosti v</w:t>
      </w:r>
      <w:r w:rsidRPr="00382B3C">
        <w:rPr>
          <w:rFonts w:asciiTheme="minorHAnsi" w:hAnsiTheme="minorHAnsi" w:cstheme="minorHAnsi"/>
          <w:color w:val="auto"/>
        </w:rPr>
        <w:t xml:space="preserve"> rámci této výzvy na příslušný rok.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Všechny informace a údaje uvedené v žádosti vč. příloh jsou správné, pravdivé a úplné.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Cíle uvedené v návrhu projektu budou uspokojivě plněny a budou v souladu s výzvou.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Žadateli nejsou známy žádné informace, které by vedly k pochybnostem o splnění cílů projektu. Poskytnuté finanční prostředky budou využity k naplnění cílů dle návrhu projektu. 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Je předložen konkrétní a kontrolovatelný projekt, který obsahuje reálný a vyrovnaný rozpočet.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Předpokládané výdaje jsou přiměřené, tj. odpovídají cenám v místě a čase obvyklým, doložitelné, jsou přímo spojeny s realizací projektu a jsou součástí rozpočtu projektu. 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Informace uvedené v návrhu projektu jsou pravdivé, úplné, zkontrolované, přesné a spolehlivé a řádně odůvodňují všechny cíle.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 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Žadatel neprodleně oznámí MKČR prostřednictvím DPMK jakékoliv změny (</w:t>
      </w:r>
      <w:r w:rsidR="0011601E" w:rsidRPr="00382B3C">
        <w:rPr>
          <w:rFonts w:asciiTheme="minorHAnsi" w:hAnsiTheme="minorHAnsi" w:cstheme="minorHAnsi"/>
          <w:color w:val="auto"/>
        </w:rPr>
        <w:t>identifikačních a</w:t>
      </w:r>
      <w:r w:rsidR="008C51F5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kontaktních údajů, právní formy žadatele, parametrů projektu, podmínek realizace projektu aj.).  </w:t>
      </w:r>
    </w:p>
    <w:p w:rsidR="00B5214C" w:rsidRPr="00111A55" w:rsidRDefault="00B5214C" w:rsidP="00111A55">
      <w:pPr>
        <w:pStyle w:val="Odstavecseseznamem"/>
        <w:numPr>
          <w:ilvl w:val="0"/>
          <w:numId w:val="11"/>
        </w:numPr>
        <w:spacing w:after="160" w:line="256" w:lineRule="auto"/>
        <w:ind w:left="567" w:right="0" w:hanging="283"/>
        <w:rPr>
          <w:rFonts w:asciiTheme="minorHAnsi" w:eastAsiaTheme="minorHAnsi" w:hAnsiTheme="minorHAnsi" w:cstheme="minorBidi"/>
          <w:color w:val="auto"/>
        </w:rPr>
      </w:pPr>
      <w:r>
        <w:t>Zpracování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Registr dotací (</w:t>
      </w:r>
      <w:hyperlink r:id="rId13" w:history="1">
        <w:r>
          <w:rPr>
            <w:rStyle w:val="Hypertextovodkaz"/>
          </w:rPr>
          <w:t>red.fs.gov.cz</w:t>
        </w:r>
      </w:hyperlink>
      <w:r>
        <w:t>)) uvedených v této žádosti, provede Ministerstvo kultury se sídlem v Praze 1, Maltézské náměstí 471/1, IČ 00023671, coby správce osobních údajů dle čl. 6 odst.1 písm. c)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 110/2019 Sb., o zpracování osobních údajů a o změně některých zákonů, ve znění pozdějších předpisů, a to v době pro toto zpracování nezbytně nutné, s čímž žadatel vyjadřuje souhlas.</w:t>
      </w:r>
    </w:p>
    <w:p w:rsidR="00111A55" w:rsidRPr="00111A55" w:rsidRDefault="00111A55" w:rsidP="00111A55">
      <w:pPr>
        <w:pStyle w:val="Odstavecseseznamem"/>
        <w:numPr>
          <w:ilvl w:val="0"/>
          <w:numId w:val="11"/>
        </w:numPr>
        <w:spacing w:after="160" w:line="256" w:lineRule="auto"/>
        <w:ind w:left="709" w:right="0" w:hanging="283"/>
        <w:rPr>
          <w:rFonts w:asciiTheme="minorHAnsi" w:eastAsiaTheme="minorHAnsi" w:hAnsiTheme="minorHAnsi" w:cstheme="minorHAnsi"/>
          <w:color w:val="auto"/>
        </w:rPr>
      </w:pPr>
      <w:r>
        <w:rPr>
          <w:rFonts w:cstheme="minorHAnsi"/>
          <w:iCs/>
          <w:shd w:val="clear" w:color="auto" w:fill="FFFFFF"/>
        </w:rPr>
        <w:lastRenderedPageBreak/>
        <w:t>Žadatel stvrzuje, že byl zajištěn souhlas se zpracováním osobních údajů na úrovni konkrétních osob, jejichž osobní údaje jsou uvedeny v projektu.</w:t>
      </w:r>
    </w:p>
    <w:p w:rsidR="00203B3D" w:rsidRPr="00382B3C" w:rsidRDefault="0050675F">
      <w:pPr>
        <w:numPr>
          <w:ilvl w:val="0"/>
          <w:numId w:val="11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 prohlašuje, že k datu podání žádosti je ekonomickým subjektem.  </w:t>
      </w:r>
    </w:p>
    <w:p w:rsidR="00203B3D" w:rsidRPr="00382B3C" w:rsidRDefault="0050675F" w:rsidP="00964004">
      <w:pPr>
        <w:keepNext/>
        <w:numPr>
          <w:ilvl w:val="0"/>
          <w:numId w:val="11"/>
        </w:numPr>
        <w:spacing w:after="10" w:line="250" w:lineRule="auto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Žadatel prohlašuje, že není veřejným funkcionářem podle § 2 odst. 1 písm. c) zákona  </w:t>
      </w:r>
    </w:p>
    <w:p w:rsidR="00203B3D" w:rsidRPr="00382B3C" w:rsidRDefault="0050675F" w:rsidP="00964004">
      <w:pPr>
        <w:keepNext/>
        <w:spacing w:after="10" w:line="250" w:lineRule="auto"/>
        <w:ind w:left="730"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č. 159/2006 Sb., o střetu zájmů, v platném znění. </w:t>
      </w:r>
    </w:p>
    <w:p w:rsidR="00203B3D" w:rsidRDefault="00203B3D" w:rsidP="002F5B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:rsidR="00951C86" w:rsidRPr="00382B3C" w:rsidRDefault="00951C86" w:rsidP="002F5B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5767AF">
      <w:pPr>
        <w:pStyle w:val="Nadpis1"/>
        <w:rPr>
          <w:rStyle w:val="Nadpis1Char"/>
          <w:rFonts w:asciiTheme="minorHAnsi" w:hAnsiTheme="minorHAnsi" w:cstheme="minorHAnsi"/>
          <w:sz w:val="24"/>
          <w:szCs w:val="24"/>
        </w:rPr>
      </w:pPr>
      <w:bookmarkStart w:id="13" w:name="_Toc203367683"/>
      <w:r w:rsidRPr="00F70D27">
        <w:rPr>
          <w:rFonts w:asciiTheme="minorHAnsi" w:hAnsiTheme="minorHAnsi" w:cstheme="minorHAnsi"/>
          <w:sz w:val="24"/>
          <w:szCs w:val="24"/>
        </w:rPr>
        <w:t xml:space="preserve">8.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Období a místo realizace projektu</w:t>
      </w:r>
      <w:bookmarkEnd w:id="13"/>
      <w:r w:rsidRPr="00F70D27">
        <w:rPr>
          <w:rStyle w:val="Nadpis1Char"/>
          <w:rFonts w:asciiTheme="minorHAnsi" w:hAnsiTheme="minorHAnsi" w:cstheme="minorHAnsi"/>
          <w:sz w:val="24"/>
          <w:szCs w:val="24"/>
        </w:rPr>
        <w:t xml:space="preserve"> </w:t>
      </w:r>
    </w:p>
    <w:p w:rsidR="006631F5" w:rsidRPr="00382B3C" w:rsidRDefault="0050675F" w:rsidP="006631F5">
      <w:pPr>
        <w:pStyle w:val="Odstavecseseznamem"/>
        <w:numPr>
          <w:ilvl w:val="0"/>
          <w:numId w:val="38"/>
        </w:numPr>
        <w:spacing w:after="10" w:line="276" w:lineRule="auto"/>
        <w:ind w:left="709" w:right="0" w:hanging="283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Podpořené projekty v této výzvě musí být realizovány nejpozději do </w:t>
      </w:r>
      <w:r w:rsidRPr="00382B3C">
        <w:rPr>
          <w:rFonts w:asciiTheme="minorHAnsi" w:hAnsiTheme="minorHAnsi" w:cstheme="minorHAnsi"/>
          <w:b/>
          <w:color w:val="auto"/>
        </w:rPr>
        <w:t>31.12.202</w:t>
      </w:r>
      <w:r w:rsidR="00653930" w:rsidRPr="00382B3C">
        <w:rPr>
          <w:rFonts w:asciiTheme="minorHAnsi" w:hAnsiTheme="minorHAnsi" w:cstheme="minorHAnsi"/>
          <w:b/>
          <w:color w:val="auto"/>
        </w:rPr>
        <w:t>6</w:t>
      </w:r>
      <w:r w:rsidRPr="00382B3C">
        <w:rPr>
          <w:rFonts w:asciiTheme="minorHAnsi" w:hAnsiTheme="minorHAnsi" w:cstheme="minorHAnsi"/>
          <w:color w:val="auto"/>
        </w:rPr>
        <w:t>.</w:t>
      </w:r>
    </w:p>
    <w:p w:rsidR="006631F5" w:rsidRPr="00382B3C" w:rsidRDefault="006631F5" w:rsidP="006631F5">
      <w:pPr>
        <w:pStyle w:val="Odstavecseseznamem"/>
        <w:numPr>
          <w:ilvl w:val="0"/>
          <w:numId w:val="38"/>
        </w:numPr>
        <w:spacing w:after="10"/>
        <w:ind w:left="709" w:right="0" w:hanging="283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Podpořené projekty musí být realizovány na území České republiky. </w:t>
      </w:r>
    </w:p>
    <w:p w:rsidR="00203B3D" w:rsidRPr="00382B3C" w:rsidRDefault="00203B3D" w:rsidP="002F5B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:rsidR="002F5B76" w:rsidRPr="00382B3C" w:rsidRDefault="002F5B76" w:rsidP="002F5B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5767AF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14" w:name="_Toc203367684"/>
      <w:r w:rsidRPr="00F70D27">
        <w:rPr>
          <w:rFonts w:asciiTheme="minorHAnsi" w:hAnsiTheme="minorHAnsi" w:cstheme="minorHAnsi"/>
          <w:sz w:val="24"/>
          <w:szCs w:val="24"/>
        </w:rPr>
        <w:t xml:space="preserve">9.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Způsobilé náklady a příjmy</w:t>
      </w:r>
      <w:bookmarkEnd w:id="14"/>
      <w:r w:rsidRPr="00F70D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3B3D" w:rsidRPr="00382B3C" w:rsidRDefault="0050675F">
      <w:pPr>
        <w:numPr>
          <w:ilvl w:val="0"/>
          <w:numId w:val="12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Způsobilé náklady projektu, jsou takové náklady, které zakládají nárok na poskytnutí dotace. Výdaje musí být skutečně, účelně, efektivně, oprávněně a nezbytně vynaložené. Všechny způsobilé náklady musí splňovat podmínky výzvy. </w:t>
      </w:r>
    </w:p>
    <w:p w:rsidR="00203B3D" w:rsidRPr="00382B3C" w:rsidRDefault="0050675F">
      <w:pPr>
        <w:numPr>
          <w:ilvl w:val="0"/>
          <w:numId w:val="12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Způsobilým nákladem je z časového hlediska náklad, který vznikl příjemci podpory a byl uhrazen příjemcem podpory v</w:t>
      </w:r>
      <w:r w:rsidR="006631F5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období</w:t>
      </w:r>
      <w:r w:rsidR="006631F5" w:rsidRPr="00382B3C">
        <w:rPr>
          <w:rFonts w:asciiTheme="minorHAnsi" w:hAnsiTheme="minorHAnsi" w:cstheme="minorHAnsi"/>
          <w:color w:val="auto"/>
        </w:rPr>
        <w:t>,</w:t>
      </w:r>
      <w:r w:rsidRPr="00382B3C">
        <w:rPr>
          <w:rFonts w:asciiTheme="minorHAnsi" w:hAnsiTheme="minorHAnsi" w:cstheme="minorHAnsi"/>
          <w:color w:val="auto"/>
        </w:rPr>
        <w:t xml:space="preserve"> na které byla dotace poskytnuta</w:t>
      </w:r>
      <w:r w:rsidR="00050EB1" w:rsidRPr="00382B3C">
        <w:rPr>
          <w:rFonts w:asciiTheme="minorHAnsi" w:hAnsiTheme="minorHAnsi" w:cstheme="minorHAnsi"/>
          <w:color w:val="auto"/>
        </w:rPr>
        <w:t>.</w:t>
      </w:r>
      <w:r w:rsidRPr="00382B3C">
        <w:rPr>
          <w:rFonts w:asciiTheme="minorHAnsi" w:hAnsiTheme="minorHAnsi" w:cstheme="minorHAnsi"/>
          <w:color w:val="auto"/>
        </w:rPr>
        <w:t xml:space="preserve"> </w:t>
      </w:r>
    </w:p>
    <w:p w:rsidR="00203B3D" w:rsidRPr="00382B3C" w:rsidRDefault="0050675F" w:rsidP="00496993">
      <w:pPr>
        <w:numPr>
          <w:ilvl w:val="0"/>
          <w:numId w:val="12"/>
        </w:numPr>
        <w:ind w:left="730"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Použitím dotace se rozumí zaplacení plateb hrazených z dotace v hotovosti a poukázání plateb hrazených z dotace bezhotovostně. Mzdy a odměny z dohod o provedení práce a z dohod o</w:t>
      </w:r>
      <w:r w:rsidR="00EC394C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pracovní činnosti lze hradit, v souladu se zákonem č. 262/2006 Sb., zákoník práce, v platném znění, nejpozději do 31.01.202</w:t>
      </w:r>
      <w:r w:rsidR="005D3D51" w:rsidRPr="00382B3C">
        <w:rPr>
          <w:rFonts w:asciiTheme="minorHAnsi" w:hAnsiTheme="minorHAnsi" w:cstheme="minorHAnsi"/>
          <w:color w:val="auto"/>
        </w:rPr>
        <w:t>7</w:t>
      </w:r>
      <w:r w:rsidRPr="00382B3C">
        <w:rPr>
          <w:rFonts w:asciiTheme="minorHAnsi" w:hAnsiTheme="minorHAnsi" w:cstheme="minorHAnsi"/>
          <w:color w:val="auto"/>
        </w:rPr>
        <w:t xml:space="preserve">, stejně jako související zákonné odvody.  </w:t>
      </w:r>
    </w:p>
    <w:p w:rsidR="00203B3D" w:rsidRPr="00382B3C" w:rsidRDefault="0050675F">
      <w:pPr>
        <w:numPr>
          <w:ilvl w:val="0"/>
          <w:numId w:val="12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Do způsobilých nákladů a příjmů projektu mohou být zahrnuty jen takové náklady a příjmy, které budou součástí účetnictví žadatele a zároveň budou vedeny odděleně. </w:t>
      </w:r>
    </w:p>
    <w:p w:rsidR="00050EB1" w:rsidRPr="00382B3C" w:rsidRDefault="0050675F" w:rsidP="00050EB1">
      <w:pPr>
        <w:numPr>
          <w:ilvl w:val="0"/>
          <w:numId w:val="12"/>
        </w:numPr>
        <w:spacing w:after="1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Mezi způsobilé náklady patří zejména přímé náklady na realizaci projektu. </w:t>
      </w:r>
    </w:p>
    <w:p w:rsidR="00050EB1" w:rsidRPr="00382B3C" w:rsidRDefault="00050EB1" w:rsidP="00050EB1">
      <w:pPr>
        <w:numPr>
          <w:ilvl w:val="0"/>
          <w:numId w:val="12"/>
        </w:numPr>
        <w:spacing w:after="10"/>
        <w:ind w:right="0" w:hanging="360"/>
        <w:rPr>
          <w:rFonts w:asciiTheme="minorHAnsi" w:hAnsiTheme="minorHAnsi" w:cstheme="minorHAnsi"/>
          <w:color w:val="auto"/>
        </w:rPr>
      </w:pPr>
      <w:bookmarkStart w:id="15" w:name="_Hlk203059813"/>
      <w:r w:rsidRPr="00382B3C">
        <w:rPr>
          <w:rFonts w:asciiTheme="minorHAnsi" w:hAnsiTheme="minorHAnsi" w:cstheme="minorHAnsi"/>
          <w:bCs/>
          <w:color w:val="auto"/>
        </w:rPr>
        <w:t>Z dotace lze hradit</w:t>
      </w:r>
      <w:r w:rsidRPr="00382B3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 xml:space="preserve">jízdné pouze po ČR a ve výši odpovídající ceně jízdenky za prostředek hromadné dopravy, a to i v případě použití silničního motorového vozidla. </w:t>
      </w:r>
    </w:p>
    <w:p w:rsidR="00050EB1" w:rsidRPr="00382B3C" w:rsidRDefault="00050EB1" w:rsidP="00050EB1">
      <w:pPr>
        <w:numPr>
          <w:ilvl w:val="0"/>
          <w:numId w:val="12"/>
        </w:numPr>
        <w:spacing w:after="1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V rámci projektu lze hradit náklady spojené se zajištěním přístupnosti </w:t>
      </w:r>
      <w:r w:rsidR="000038F8" w:rsidRPr="00382B3C">
        <w:rPr>
          <w:rFonts w:asciiTheme="minorHAnsi" w:hAnsiTheme="minorHAnsi" w:cstheme="minorHAnsi"/>
          <w:color w:val="auto"/>
        </w:rPr>
        <w:t>akce/</w:t>
      </w:r>
      <w:r w:rsidRPr="00382B3C">
        <w:rPr>
          <w:rFonts w:asciiTheme="minorHAnsi" w:hAnsiTheme="minorHAnsi" w:cstheme="minorHAnsi"/>
          <w:color w:val="auto"/>
        </w:rPr>
        <w:t>akcí znevýhodněným osobám, seniorům a dalším skupinám osob se specifickými potřebami.</w:t>
      </w:r>
      <w:bookmarkEnd w:id="15"/>
    </w:p>
    <w:p w:rsidR="00203B3D" w:rsidRPr="00382B3C" w:rsidRDefault="00203B3D" w:rsidP="002F5B76">
      <w:pPr>
        <w:spacing w:after="0" w:line="259" w:lineRule="auto"/>
        <w:ind w:left="705" w:right="0" w:firstLine="0"/>
        <w:jc w:val="left"/>
        <w:rPr>
          <w:rFonts w:asciiTheme="minorHAnsi" w:hAnsiTheme="minorHAnsi" w:cstheme="minorHAnsi"/>
          <w:color w:val="auto"/>
        </w:rPr>
      </w:pPr>
    </w:p>
    <w:p w:rsidR="002F5B76" w:rsidRPr="00382B3C" w:rsidRDefault="002F5B76" w:rsidP="002F5B76">
      <w:pPr>
        <w:spacing w:after="0" w:line="259" w:lineRule="auto"/>
        <w:ind w:left="720" w:right="0" w:firstLine="0"/>
        <w:jc w:val="left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5767AF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16" w:name="_Toc203367685"/>
      <w:r w:rsidRPr="00F70D27">
        <w:rPr>
          <w:rFonts w:asciiTheme="minorHAnsi" w:hAnsiTheme="minorHAnsi" w:cstheme="minorHAnsi"/>
          <w:sz w:val="24"/>
          <w:szCs w:val="24"/>
        </w:rPr>
        <w:t xml:space="preserve">10.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Nezpůsobilé náklady</w:t>
      </w:r>
      <w:bookmarkEnd w:id="16"/>
      <w:r w:rsidRPr="00F70D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3B3D" w:rsidRPr="00382B3C" w:rsidRDefault="0050675F">
      <w:pPr>
        <w:spacing w:after="43" w:line="259" w:lineRule="auto"/>
        <w:ind w:left="370" w:right="0"/>
        <w:jc w:val="left"/>
        <w:rPr>
          <w:rFonts w:asciiTheme="minorHAnsi" w:hAnsiTheme="minorHAnsi" w:cstheme="minorHAnsi"/>
          <w:color w:val="auto"/>
        </w:rPr>
      </w:pPr>
      <w:bookmarkStart w:id="17" w:name="_Hlk203059866"/>
      <w:r w:rsidRPr="00382B3C">
        <w:rPr>
          <w:rFonts w:asciiTheme="minorHAnsi" w:hAnsiTheme="minorHAnsi" w:cstheme="minorHAnsi"/>
          <w:color w:val="auto"/>
        </w:rPr>
        <w:t>a)</w:t>
      </w:r>
      <w:r w:rsidRPr="00382B3C">
        <w:rPr>
          <w:rFonts w:asciiTheme="minorHAnsi" w:eastAsia="Arial" w:hAnsiTheme="minorHAnsi" w:cstheme="minorHAnsi"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 xml:space="preserve">Dotaci nelze poskytnout na: </w:t>
      </w:r>
    </w:p>
    <w:p w:rsidR="00203B3D" w:rsidRPr="00382B3C" w:rsidRDefault="0050675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Aktivity, které neodpovídají zaměření programu a podmínkám příslušné výzvy</w:t>
      </w:r>
    </w:p>
    <w:p w:rsidR="00203B3D" w:rsidRPr="00382B3C" w:rsidRDefault="0050675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Běžné provozní výdaje žadatele nesouvisející s realizací projektu</w:t>
      </w:r>
    </w:p>
    <w:p w:rsidR="008065FF" w:rsidRPr="00382B3C" w:rsidRDefault="008065FF" w:rsidP="008065F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Kancelářskou, výpočetní a audiovizuální techniku</w:t>
      </w:r>
    </w:p>
    <w:p w:rsidR="002B3A62" w:rsidRPr="00382B3C" w:rsidRDefault="002B3A62" w:rsidP="008065F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Pořízení hudebních nástrojů</w:t>
      </w:r>
    </w:p>
    <w:p w:rsidR="008065FF" w:rsidRPr="00382B3C" w:rsidRDefault="008065FF" w:rsidP="008065F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Výrob</w:t>
      </w:r>
      <w:r w:rsidR="00B42579">
        <w:rPr>
          <w:rFonts w:asciiTheme="minorHAnsi" w:hAnsiTheme="minorHAnsi" w:cstheme="minorHAnsi"/>
          <w:color w:val="auto"/>
        </w:rPr>
        <w:t>u</w:t>
      </w:r>
      <w:r w:rsidRPr="00382B3C">
        <w:rPr>
          <w:rFonts w:asciiTheme="minorHAnsi" w:hAnsiTheme="minorHAnsi" w:cstheme="minorHAnsi"/>
          <w:color w:val="auto"/>
        </w:rPr>
        <w:t xml:space="preserve"> či distribuc</w:t>
      </w:r>
      <w:r w:rsidR="00B42579">
        <w:rPr>
          <w:rFonts w:asciiTheme="minorHAnsi" w:hAnsiTheme="minorHAnsi" w:cstheme="minorHAnsi"/>
          <w:color w:val="auto"/>
        </w:rPr>
        <w:t>i</w:t>
      </w:r>
      <w:r w:rsidRPr="00382B3C">
        <w:rPr>
          <w:rFonts w:asciiTheme="minorHAnsi" w:hAnsiTheme="minorHAnsi" w:cstheme="minorHAnsi"/>
          <w:color w:val="auto"/>
        </w:rPr>
        <w:t xml:space="preserve"> reklamních předmětů</w:t>
      </w:r>
    </w:p>
    <w:p w:rsidR="00203B3D" w:rsidRPr="00382B3C" w:rsidRDefault="0050675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Udílení věcných nebo finančních ocenění</w:t>
      </w:r>
    </w:p>
    <w:p w:rsidR="002B3633" w:rsidRPr="00382B3C" w:rsidRDefault="00970985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Externí z</w:t>
      </w:r>
      <w:r w:rsidR="0050675F" w:rsidRPr="00382B3C">
        <w:rPr>
          <w:rFonts w:asciiTheme="minorHAnsi" w:hAnsiTheme="minorHAnsi" w:cstheme="minorHAnsi"/>
          <w:color w:val="auto"/>
        </w:rPr>
        <w:t>pracování projektu</w:t>
      </w:r>
    </w:p>
    <w:p w:rsidR="00203B3D" w:rsidRPr="00382B3C" w:rsidRDefault="00A23F23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Externí ú</w:t>
      </w:r>
      <w:r w:rsidR="002B3A62" w:rsidRPr="00382B3C">
        <w:rPr>
          <w:rFonts w:asciiTheme="minorHAnsi" w:hAnsiTheme="minorHAnsi" w:cstheme="minorHAnsi"/>
          <w:color w:val="auto"/>
        </w:rPr>
        <w:t xml:space="preserve">četní </w:t>
      </w:r>
      <w:r w:rsidR="002B3633" w:rsidRPr="00382B3C">
        <w:rPr>
          <w:rFonts w:asciiTheme="minorHAnsi" w:hAnsiTheme="minorHAnsi" w:cstheme="minorHAnsi"/>
          <w:color w:val="auto"/>
        </w:rPr>
        <w:t>a</w:t>
      </w:r>
      <w:r w:rsidR="002B3A62" w:rsidRPr="00382B3C">
        <w:rPr>
          <w:rFonts w:asciiTheme="minorHAnsi" w:hAnsiTheme="minorHAnsi" w:cstheme="minorHAnsi"/>
          <w:color w:val="auto"/>
        </w:rPr>
        <w:t xml:space="preserve"> právní služby</w:t>
      </w:r>
      <w:r w:rsidR="00E36A9B">
        <w:rPr>
          <w:rFonts w:asciiTheme="minorHAnsi" w:hAnsiTheme="minorHAnsi" w:cstheme="minorHAnsi"/>
          <w:color w:val="auto"/>
        </w:rPr>
        <w:t xml:space="preserve"> </w:t>
      </w:r>
    </w:p>
    <w:p w:rsidR="00203B3D" w:rsidRPr="00382B3C" w:rsidRDefault="0050675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Bankovní poplatky</w:t>
      </w:r>
    </w:p>
    <w:p w:rsidR="00203B3D" w:rsidRPr="00382B3C" w:rsidRDefault="00970985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Pohoštění a občerstvení</w:t>
      </w:r>
    </w:p>
    <w:p w:rsidR="00970985" w:rsidRPr="00382B3C" w:rsidRDefault="00F5534D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D</w:t>
      </w:r>
      <w:r w:rsidR="00970985" w:rsidRPr="00382B3C">
        <w:rPr>
          <w:rFonts w:asciiTheme="minorHAnsi" w:hAnsiTheme="minorHAnsi" w:cstheme="minorHAnsi"/>
          <w:color w:val="auto"/>
        </w:rPr>
        <w:t>ary, včetně květinový</w:t>
      </w:r>
      <w:r w:rsidR="00606C4F" w:rsidRPr="00382B3C">
        <w:rPr>
          <w:rFonts w:asciiTheme="minorHAnsi" w:hAnsiTheme="minorHAnsi" w:cstheme="minorHAnsi"/>
          <w:color w:val="auto"/>
        </w:rPr>
        <w:t>ch</w:t>
      </w:r>
    </w:p>
    <w:p w:rsidR="00203B3D" w:rsidRPr="00382B3C" w:rsidRDefault="0050675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Pohonné hmoty</w:t>
      </w:r>
      <w:r w:rsidR="00970985" w:rsidRPr="00382B3C">
        <w:rPr>
          <w:rFonts w:asciiTheme="minorHAnsi" w:hAnsiTheme="minorHAnsi" w:cstheme="minorHAnsi"/>
          <w:color w:val="auto"/>
        </w:rPr>
        <w:t xml:space="preserve"> a náklady na taxi službu</w:t>
      </w:r>
    </w:p>
    <w:p w:rsidR="008065FF" w:rsidRPr="00382B3C" w:rsidRDefault="008065F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Honoráře účinkujících</w:t>
      </w:r>
    </w:p>
    <w:p w:rsidR="00203B3D" w:rsidRPr="00382B3C" w:rsidRDefault="0050675F">
      <w:pPr>
        <w:numPr>
          <w:ilvl w:val="0"/>
          <w:numId w:val="13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Vyškolení personálu </w:t>
      </w:r>
    </w:p>
    <w:p w:rsidR="00203B3D" w:rsidRPr="00382B3C" w:rsidRDefault="0050675F" w:rsidP="00951C86">
      <w:pPr>
        <w:numPr>
          <w:ilvl w:val="0"/>
          <w:numId w:val="13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lastRenderedPageBreak/>
        <w:t>Na úhradu nákladů spojených se zahraničními cestami lze dotaci poskytnout jen v případě, pokud jsou zahraniční cesty součástí projektu a nezbytnou podmínkou pro jeho realizaci.</w:t>
      </w:r>
      <w:r w:rsidRPr="00382B3C">
        <w:rPr>
          <w:rFonts w:asciiTheme="minorHAnsi" w:hAnsiTheme="minorHAnsi" w:cstheme="minorHAnsi"/>
          <w:i/>
          <w:color w:val="auto"/>
        </w:rPr>
        <w:t xml:space="preserve"> </w:t>
      </w:r>
    </w:p>
    <w:bookmarkEnd w:id="17"/>
    <w:p w:rsidR="001D3106" w:rsidRPr="00382B3C" w:rsidRDefault="001D3106" w:rsidP="009343DF">
      <w:pPr>
        <w:spacing w:after="0" w:line="259" w:lineRule="auto"/>
        <w:ind w:left="1068" w:right="0" w:firstLine="0"/>
        <w:jc w:val="left"/>
        <w:rPr>
          <w:rFonts w:asciiTheme="minorHAnsi" w:hAnsiTheme="minorHAnsi" w:cstheme="minorHAnsi"/>
          <w:color w:val="auto"/>
        </w:rPr>
      </w:pPr>
    </w:p>
    <w:p w:rsidR="002F5B76" w:rsidRPr="00382B3C" w:rsidRDefault="002F5B76" w:rsidP="009343DF">
      <w:pPr>
        <w:spacing w:after="0" w:line="259" w:lineRule="auto"/>
        <w:ind w:left="1068" w:right="0" w:firstLine="0"/>
        <w:jc w:val="left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5767AF">
      <w:pPr>
        <w:pStyle w:val="Nadpis1"/>
        <w:rPr>
          <w:rStyle w:val="Nadpis1Char"/>
          <w:rFonts w:asciiTheme="minorHAnsi" w:hAnsiTheme="minorHAnsi" w:cstheme="minorHAnsi"/>
          <w:sz w:val="24"/>
          <w:szCs w:val="24"/>
        </w:rPr>
      </w:pPr>
      <w:bookmarkStart w:id="18" w:name="_Toc203367686"/>
      <w:r w:rsidRPr="00F70D27">
        <w:rPr>
          <w:rFonts w:asciiTheme="minorHAnsi" w:hAnsiTheme="minorHAnsi" w:cstheme="minorHAnsi"/>
          <w:sz w:val="24"/>
          <w:szCs w:val="24"/>
        </w:rPr>
        <w:t xml:space="preserve">11.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Formální kontrola žádosti</w:t>
      </w:r>
      <w:bookmarkEnd w:id="18"/>
    </w:p>
    <w:p w:rsidR="00203B3D" w:rsidRPr="00382B3C" w:rsidRDefault="0050675F">
      <w:pPr>
        <w:numPr>
          <w:ilvl w:val="0"/>
          <w:numId w:val="14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Žádosti budou hodnoceny po ukončení sběru žádostí. Podpořeny mohou být pouze </w:t>
      </w:r>
      <w:r w:rsidR="002B3633" w:rsidRPr="00382B3C">
        <w:rPr>
          <w:rFonts w:asciiTheme="minorHAnsi" w:hAnsiTheme="minorHAnsi" w:cstheme="minorHAnsi"/>
          <w:color w:val="auto"/>
        </w:rPr>
        <w:t>úplné a</w:t>
      </w:r>
      <w:r w:rsidR="0011601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formálně správné žádosti, které splní požadavky dané programem a touto výzvou.  </w:t>
      </w:r>
    </w:p>
    <w:p w:rsidR="00203B3D" w:rsidRPr="007C2A93" w:rsidRDefault="0050675F">
      <w:pPr>
        <w:numPr>
          <w:ilvl w:val="0"/>
          <w:numId w:val="14"/>
        </w:numPr>
        <w:ind w:right="0" w:hanging="360"/>
        <w:rPr>
          <w:rFonts w:asciiTheme="minorHAnsi" w:hAnsiTheme="minorHAnsi" w:cstheme="minorHAnsi"/>
          <w:b/>
          <w:color w:val="auto"/>
        </w:rPr>
      </w:pPr>
      <w:r w:rsidRPr="00B939B5">
        <w:rPr>
          <w:rFonts w:asciiTheme="minorHAnsi" w:hAnsiTheme="minorHAnsi" w:cstheme="minorHAnsi"/>
          <w:b/>
          <w:color w:val="auto"/>
        </w:rPr>
        <w:t xml:space="preserve">MKČR provede kontrolu všech došlých žádostí z hlediska splnění jejich formálních náležitostí. </w:t>
      </w:r>
      <w:r w:rsidRPr="007C2A93">
        <w:rPr>
          <w:rFonts w:asciiTheme="minorHAnsi" w:hAnsiTheme="minorHAnsi" w:cstheme="minorHAnsi"/>
          <w:b/>
          <w:color w:val="auto"/>
        </w:rPr>
        <w:t xml:space="preserve">Trpí-li žádost o poskytnutí dotace vadami, vyzve MKČR žadatele o dotaci prostřednictvím DPMK k odstranění vad, k tomu mu poskytne přiměřenou lhůtu.  </w:t>
      </w:r>
    </w:p>
    <w:p w:rsidR="00203B3D" w:rsidRPr="007C2A93" w:rsidRDefault="0050675F">
      <w:pPr>
        <w:numPr>
          <w:ilvl w:val="0"/>
          <w:numId w:val="14"/>
        </w:numPr>
        <w:ind w:right="0" w:hanging="360"/>
        <w:rPr>
          <w:rFonts w:asciiTheme="minorHAnsi" w:hAnsiTheme="minorHAnsi" w:cstheme="minorHAnsi"/>
          <w:b/>
          <w:color w:val="auto"/>
        </w:rPr>
      </w:pPr>
      <w:r w:rsidRPr="007C2A93">
        <w:rPr>
          <w:rFonts w:asciiTheme="minorHAnsi" w:hAnsiTheme="minorHAnsi" w:cstheme="minorHAnsi"/>
          <w:b/>
          <w:color w:val="auto"/>
        </w:rPr>
        <w:t xml:space="preserve">Pokud žadatel neodstraní vady žádosti ve stanovené lhůtě, nebude jeho žádost předložena dotační výběrové komisi k následnému hodnocení a řízení o ní bude zastaveno.  </w:t>
      </w:r>
    </w:p>
    <w:p w:rsidR="00203B3D" w:rsidRPr="00382B3C" w:rsidRDefault="0050675F">
      <w:pPr>
        <w:numPr>
          <w:ilvl w:val="0"/>
          <w:numId w:val="14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Při kontrole úplnosti a formální správnosti se zejména ověřuje: </w:t>
      </w:r>
    </w:p>
    <w:p w:rsidR="00203B3D" w:rsidRPr="00382B3C" w:rsidRDefault="0050675F">
      <w:pPr>
        <w:numPr>
          <w:ilvl w:val="1"/>
          <w:numId w:val="14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Zda je žadatel oprávněným žadatelem dle této výzvy. </w:t>
      </w:r>
    </w:p>
    <w:p w:rsidR="00203B3D" w:rsidRPr="00382B3C" w:rsidRDefault="0050675F">
      <w:pPr>
        <w:numPr>
          <w:ilvl w:val="1"/>
          <w:numId w:val="14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Zda žádost byla podána v daném termínu oprávněnou osobou a předepsaným způsobem. </w:t>
      </w:r>
    </w:p>
    <w:p w:rsidR="00203B3D" w:rsidRPr="00382B3C" w:rsidRDefault="0050675F">
      <w:pPr>
        <w:numPr>
          <w:ilvl w:val="1"/>
          <w:numId w:val="14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Zda byly žadatelem doloženy všechny požadované dokumenty, uvedeny všechny požadované údaje a tyto dokumenty splňují všechny požadované formální náležitosti. </w:t>
      </w:r>
    </w:p>
    <w:p w:rsidR="00203B3D" w:rsidRPr="00382B3C" w:rsidRDefault="0050675F">
      <w:pPr>
        <w:numPr>
          <w:ilvl w:val="0"/>
          <w:numId w:val="14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Není-li žadatel oprávněným žadatelem, nebo nesplňuje-li žádost podmínky dané výzvy, MKČR řízení o žádosti zastaví a bude ukončeno prostřednictvím usnesení o zastavení řízení.  </w:t>
      </w:r>
    </w:p>
    <w:p w:rsidR="00203B3D" w:rsidRPr="00382B3C" w:rsidRDefault="0050675F">
      <w:pPr>
        <w:numPr>
          <w:ilvl w:val="0"/>
          <w:numId w:val="14"/>
        </w:numPr>
        <w:spacing w:after="1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Dále budou hodnoceny komisí pouze formálně úplné žádosti, tj. žádosti bez nedostatků, resp. </w:t>
      </w:r>
    </w:p>
    <w:p w:rsidR="00203B3D" w:rsidRPr="00382B3C" w:rsidRDefault="0050675F" w:rsidP="001D3106">
      <w:pPr>
        <w:spacing w:after="0" w:line="250" w:lineRule="auto"/>
        <w:ind w:left="731" w:right="0" w:hanging="11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řádně doplněné na základě výzvy k odstranění nedostatků doručené prostřednictvím DPMK. </w:t>
      </w:r>
    </w:p>
    <w:p w:rsidR="00203B3D" w:rsidRPr="00382B3C" w:rsidRDefault="0050675F">
      <w:pPr>
        <w:spacing w:after="254" w:line="259" w:lineRule="auto"/>
        <w:ind w:left="720" w:right="0" w:firstLine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 </w:t>
      </w:r>
    </w:p>
    <w:p w:rsidR="00203B3D" w:rsidRPr="00F70D27" w:rsidRDefault="0050675F" w:rsidP="005767AF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19" w:name="_Toc203367687"/>
      <w:r w:rsidRPr="00F70D27">
        <w:rPr>
          <w:rFonts w:asciiTheme="minorHAnsi" w:hAnsiTheme="minorHAnsi" w:cstheme="minorHAnsi"/>
          <w:sz w:val="24"/>
          <w:szCs w:val="24"/>
        </w:rPr>
        <w:t xml:space="preserve">12.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Hodnocení odbornou komisí</w:t>
      </w:r>
      <w:bookmarkEnd w:id="19"/>
      <w:r w:rsidRPr="00F70D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3B3D" w:rsidRPr="00382B3C" w:rsidRDefault="0050675F" w:rsidP="00477B1D">
      <w:pPr>
        <w:spacing w:after="120"/>
        <w:ind w:left="705"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a)</w:t>
      </w:r>
      <w:r w:rsidRPr="00382B3C">
        <w:rPr>
          <w:rFonts w:asciiTheme="minorHAnsi" w:eastAsia="Arial" w:hAnsiTheme="minorHAnsi" w:cstheme="minorHAnsi"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>Žádosti budou předloženy k posouzení odborné komisi, která projekty posuzuje dle stanovených</w:t>
      </w:r>
      <w:r w:rsidR="002F5B76" w:rsidRPr="00382B3C">
        <w:rPr>
          <w:rFonts w:asciiTheme="minorHAnsi" w:hAnsiTheme="minorHAnsi" w:cstheme="minorHAnsi"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 xml:space="preserve">hodnotících kritérií.  </w:t>
      </w:r>
    </w:p>
    <w:p w:rsidR="00203B3D" w:rsidRPr="00B45815" w:rsidRDefault="0050675F" w:rsidP="005767AF">
      <w:pPr>
        <w:pStyle w:val="Nadpis2"/>
        <w:rPr>
          <w:rFonts w:asciiTheme="minorHAnsi" w:hAnsiTheme="minorHAnsi" w:cstheme="minorHAnsi"/>
          <w:b/>
          <w:sz w:val="22"/>
        </w:rPr>
      </w:pPr>
      <w:bookmarkStart w:id="20" w:name="_Toc203367688"/>
      <w:r w:rsidRPr="00B45815">
        <w:rPr>
          <w:rFonts w:asciiTheme="minorHAnsi" w:hAnsiTheme="minorHAnsi" w:cstheme="minorHAnsi"/>
          <w:b/>
          <w:sz w:val="22"/>
        </w:rPr>
        <w:t>12.1. Hodnotící kritéria</w:t>
      </w:r>
      <w:bookmarkEnd w:id="20"/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83"/>
        <w:gridCol w:w="6878"/>
        <w:gridCol w:w="1703"/>
      </w:tblGrid>
      <w:tr w:rsidR="00852694" w:rsidRPr="00382B3C" w:rsidTr="00852694">
        <w:trPr>
          <w:trHeight w:val="41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 w:rsidP="001D3106">
            <w:pPr>
              <w:spacing w:after="0" w:line="259" w:lineRule="auto"/>
              <w:ind w:left="6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21" w:name="_Hlk203060026"/>
            <w:r w:rsidRPr="00382B3C">
              <w:rPr>
                <w:rFonts w:asciiTheme="minorHAnsi" w:hAnsiTheme="minorHAnsi" w:cstheme="minorHAnsi"/>
                <w:b/>
                <w:color w:val="auto"/>
              </w:rPr>
              <w:t xml:space="preserve">Kritérium hodnocení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b/>
                <w:color w:val="auto"/>
              </w:rPr>
              <w:t>Maximum bodů</w:t>
            </w:r>
            <w:r w:rsidRPr="00382B3C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1.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0038F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Jasně definované cíle a srozumitelnost projektu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10 </w:t>
            </w:r>
          </w:p>
        </w:tc>
      </w:tr>
      <w:tr w:rsidR="00852694" w:rsidRPr="00382B3C" w:rsidTr="00852694">
        <w:trPr>
          <w:trHeight w:val="2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2.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0038F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Jasný popis hlavních aktivit projektu s vhodnými a reálnými aktivitami k dosažení stanovených cílů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0038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1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 xml:space="preserve">0 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3.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0038F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Dostatečná promyšlenost personálního a organizačního zabezpečení projektu (záruka kvalitní realizace projektu s ohledem na zkušenosti žadatele)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0038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5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4.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3A4AD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Konkrétní specifikace cílové skupiny v souladu s výzvou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3A4AD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5</w:t>
            </w:r>
            <w:r w:rsidR="0050675F" w:rsidRPr="00382B3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5.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3A4AD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Vymezení rozsahu podpory směrem k cílové skupině, participace členů cílové skupiny na projektu a jejich motivace k účasti na projektu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270F3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6.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1C6E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Úplnost a věcná správnost rozpočtu projektu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20 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382B3C" w:rsidRDefault="001C6E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7.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382B3C" w:rsidRDefault="001C6E30" w:rsidP="001C6E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Účelná provázanost položek rozpočtu projektu s navrhovanými aktivitami. Průhlednost rozpočtu jako celku a dostatečné zdůvodnění jeho jednotlivých položek.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382B3C" w:rsidRDefault="009F1AD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20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382B3C" w:rsidRDefault="001D310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8.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382B3C" w:rsidRDefault="001C6E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Podpora projektu ze strany místních samospráv (obec, kraj)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382B3C" w:rsidRDefault="001C6E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5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06" w:rsidRPr="00382B3C" w:rsidRDefault="001D310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9.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06" w:rsidRPr="00382B3C" w:rsidRDefault="001D3106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>Relevantnost projektu z hlediska potřeb cíl. skupiny na území realizace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06" w:rsidRPr="00382B3C" w:rsidRDefault="009F1AD5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15</w:t>
            </w:r>
          </w:p>
        </w:tc>
      </w:tr>
      <w:tr w:rsidR="00852694" w:rsidRPr="00382B3C" w:rsidTr="00852694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EC58AF" w:rsidRDefault="001D310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664724">
              <w:rPr>
                <w:rFonts w:asciiTheme="minorHAnsi" w:hAnsiTheme="minorHAnsi" w:cstheme="minorHAnsi"/>
                <w:color w:val="auto"/>
              </w:rPr>
              <w:t>10</w:t>
            </w:r>
            <w:r w:rsidR="0050675F" w:rsidRPr="00664724">
              <w:rPr>
                <w:rFonts w:asciiTheme="minorHAnsi" w:hAnsiTheme="minorHAnsi" w:cstheme="minorHAnsi"/>
                <w:color w:val="auto"/>
              </w:rPr>
              <w:t xml:space="preserve">. 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1D3106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664724">
              <w:rPr>
                <w:rFonts w:asciiTheme="minorHAnsi" w:hAnsiTheme="minorHAnsi" w:cstheme="minorHAnsi"/>
                <w:color w:val="auto"/>
              </w:rPr>
              <w:t>Přístupnost projektu znevýhodněným osobám, seniorům a dalším skupinám osob se specifickými potřebami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3C69F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664724">
              <w:rPr>
                <w:rFonts w:asciiTheme="minorHAnsi" w:hAnsiTheme="minorHAnsi" w:cstheme="minorHAnsi"/>
                <w:color w:val="auto"/>
              </w:rPr>
              <w:t>5</w:t>
            </w:r>
          </w:p>
        </w:tc>
      </w:tr>
      <w:tr w:rsidR="00852694" w:rsidRPr="00382B3C" w:rsidTr="00852694">
        <w:trPr>
          <w:trHeight w:val="281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Maximální počet bodů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382B3C" w:rsidRDefault="0050675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82B3C">
              <w:rPr>
                <w:rFonts w:asciiTheme="minorHAnsi" w:hAnsiTheme="minorHAnsi" w:cstheme="minorHAnsi"/>
                <w:color w:val="auto"/>
              </w:rPr>
              <w:t xml:space="preserve">100 </w:t>
            </w:r>
          </w:p>
        </w:tc>
      </w:tr>
    </w:tbl>
    <w:p w:rsidR="00203B3D" w:rsidRPr="00F70D27" w:rsidRDefault="0050675F" w:rsidP="005767AF">
      <w:pPr>
        <w:pStyle w:val="Nadpis1"/>
        <w:rPr>
          <w:rStyle w:val="Nadpis1Char"/>
          <w:rFonts w:asciiTheme="minorHAnsi" w:hAnsiTheme="minorHAnsi" w:cstheme="minorHAnsi"/>
          <w:sz w:val="24"/>
          <w:szCs w:val="24"/>
        </w:rPr>
      </w:pPr>
      <w:bookmarkStart w:id="22" w:name="_Toc203367689"/>
      <w:bookmarkEnd w:id="21"/>
      <w:r w:rsidRPr="00F70D27">
        <w:rPr>
          <w:rFonts w:asciiTheme="minorHAnsi" w:hAnsiTheme="minorHAnsi" w:cstheme="minorHAnsi"/>
          <w:sz w:val="24"/>
          <w:szCs w:val="24"/>
        </w:rPr>
        <w:lastRenderedPageBreak/>
        <w:t xml:space="preserve">13.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Zveřejnění výsledků výběrového dotačního řízení</w:t>
      </w:r>
      <w:bookmarkEnd w:id="22"/>
      <w:r w:rsidRPr="00F70D27">
        <w:rPr>
          <w:rStyle w:val="Nadpis1Char"/>
          <w:rFonts w:asciiTheme="minorHAnsi" w:hAnsiTheme="minorHAnsi" w:cstheme="minorHAnsi"/>
          <w:sz w:val="24"/>
          <w:szCs w:val="24"/>
        </w:rPr>
        <w:t xml:space="preserve"> </w:t>
      </w:r>
    </w:p>
    <w:p w:rsidR="00203B3D" w:rsidRPr="00382B3C" w:rsidRDefault="0050675F">
      <w:pPr>
        <w:numPr>
          <w:ilvl w:val="0"/>
          <w:numId w:val="15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S výsledky výběrového dotačního řízení budou žadatelé seznámeni: </w:t>
      </w:r>
    </w:p>
    <w:p w:rsidR="00203B3D" w:rsidRPr="00382B3C" w:rsidRDefault="0050675F">
      <w:pPr>
        <w:numPr>
          <w:ilvl w:val="1"/>
          <w:numId w:val="15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zveřejněním výsledků dotačního výběrového řízení na internetových stránkách MKČR </w:t>
      </w:r>
    </w:p>
    <w:p w:rsidR="00203B3D" w:rsidRPr="00382B3C" w:rsidRDefault="0050675F">
      <w:pPr>
        <w:numPr>
          <w:ilvl w:val="1"/>
          <w:numId w:val="15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prostřednictvím DPMK </w:t>
      </w:r>
    </w:p>
    <w:p w:rsidR="00203B3D" w:rsidRPr="00382B3C" w:rsidRDefault="0050675F">
      <w:pPr>
        <w:numPr>
          <w:ilvl w:val="1"/>
          <w:numId w:val="15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usnesením o zastavení řízení podle § 14j odst. 4 písm. a), b) nebo d) rozpočtových pravidel </w:t>
      </w:r>
    </w:p>
    <w:p w:rsidR="00203B3D" w:rsidRPr="00382B3C" w:rsidRDefault="0050675F">
      <w:pPr>
        <w:numPr>
          <w:ilvl w:val="1"/>
          <w:numId w:val="15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rozhodnutím MKČR o poskytnutí dotace ze státního rozpočtu ČR dle § 14 rozpočtových pravidel </w:t>
      </w:r>
    </w:p>
    <w:p w:rsidR="00203B3D" w:rsidRPr="00382B3C" w:rsidRDefault="0050675F">
      <w:pPr>
        <w:numPr>
          <w:ilvl w:val="1"/>
          <w:numId w:val="15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rozhodnutím o zamítnutí žádosti zveřejněným na internetových stránkách MKČR (toto rozhodnutí je doručováno pouze veřejnou vyhláškou, neúspěšným žadatelům nebudou, v</w:t>
      </w:r>
      <w:r w:rsidR="008F776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souladu s § </w:t>
      </w:r>
      <w:proofErr w:type="gramStart"/>
      <w:r w:rsidRPr="00382B3C">
        <w:rPr>
          <w:rFonts w:asciiTheme="minorHAnsi" w:hAnsiTheme="minorHAnsi" w:cstheme="minorHAnsi"/>
          <w:color w:val="auto"/>
        </w:rPr>
        <w:t>14h</w:t>
      </w:r>
      <w:proofErr w:type="gramEnd"/>
      <w:r w:rsidRPr="00382B3C">
        <w:rPr>
          <w:rFonts w:asciiTheme="minorHAnsi" w:hAnsiTheme="minorHAnsi" w:cstheme="minorHAnsi"/>
          <w:color w:val="auto"/>
        </w:rPr>
        <w:t xml:space="preserve"> rozpočtových pravidel, rozesílána písemná rozhodnutí o neposkytnutí dotace)</w:t>
      </w:r>
    </w:p>
    <w:p w:rsidR="00203B3D" w:rsidRPr="00382B3C" w:rsidRDefault="0050675F" w:rsidP="00FA69FA">
      <w:pPr>
        <w:numPr>
          <w:ilvl w:val="0"/>
          <w:numId w:val="15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Výsledek výběrového dotačního řízení je konečný a nelze proti němu podat opravný prostředek (viz § </w:t>
      </w:r>
      <w:proofErr w:type="gramStart"/>
      <w:r w:rsidRPr="00382B3C">
        <w:rPr>
          <w:rFonts w:asciiTheme="minorHAnsi" w:hAnsiTheme="minorHAnsi" w:cstheme="minorHAnsi"/>
          <w:color w:val="auto"/>
        </w:rPr>
        <w:t>14q</w:t>
      </w:r>
      <w:proofErr w:type="gramEnd"/>
      <w:r w:rsidRPr="00382B3C">
        <w:rPr>
          <w:rFonts w:asciiTheme="minorHAnsi" w:hAnsiTheme="minorHAnsi" w:cstheme="minorHAnsi"/>
          <w:color w:val="auto"/>
        </w:rPr>
        <w:t xml:space="preserve"> odst. 2 rozpočtových pravidel). </w:t>
      </w:r>
    </w:p>
    <w:p w:rsidR="00203B3D" w:rsidRPr="00382B3C" w:rsidRDefault="0050675F" w:rsidP="00FA69F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 </w:t>
      </w:r>
    </w:p>
    <w:p w:rsidR="00745FB1" w:rsidRPr="00382B3C" w:rsidRDefault="00745FB1" w:rsidP="002F5B76">
      <w:pPr>
        <w:pStyle w:val="Nadpis2"/>
        <w:spacing w:after="0"/>
        <w:ind w:left="-5"/>
        <w:rPr>
          <w:rFonts w:asciiTheme="minorHAnsi" w:hAnsiTheme="minorHAnsi" w:cstheme="minorHAnsi"/>
          <w:color w:val="auto"/>
          <w:sz w:val="22"/>
        </w:rPr>
      </w:pPr>
    </w:p>
    <w:p w:rsidR="00203B3D" w:rsidRPr="00F70D27" w:rsidRDefault="0050675F" w:rsidP="005767AF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23" w:name="_Toc203367690"/>
      <w:r w:rsidRPr="00F70D27">
        <w:rPr>
          <w:rFonts w:asciiTheme="minorHAnsi" w:hAnsiTheme="minorHAnsi" w:cstheme="minorHAnsi"/>
          <w:sz w:val="24"/>
          <w:szCs w:val="24"/>
        </w:rPr>
        <w:t xml:space="preserve">14.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Změny projektu</w:t>
      </w:r>
      <w:bookmarkEnd w:id="23"/>
      <w:r w:rsidRPr="00F70D27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03B3D" w:rsidRPr="00382B3C" w:rsidRDefault="0050675F">
      <w:pPr>
        <w:numPr>
          <w:ilvl w:val="0"/>
          <w:numId w:val="1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Příjemce je povinen MKČR v průběhu období, na které byla dotace poskytnuta, oznámit změnu všech identifikačních údajů prostřednictvím DPMK (sekce „Detail projektu“ – Nástěnka“) uvedených v žádosti o poskytnutí dotace, a to bez zbytečného odkladu.  </w:t>
      </w:r>
    </w:p>
    <w:p w:rsidR="00203B3D" w:rsidRPr="00382B3C" w:rsidRDefault="0050675F">
      <w:pPr>
        <w:numPr>
          <w:ilvl w:val="0"/>
          <w:numId w:val="16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Pr="00382B3C">
        <w:rPr>
          <w:rFonts w:asciiTheme="minorHAnsi" w:hAnsiTheme="minorHAnsi" w:cstheme="minorHAnsi"/>
          <w:b/>
          <w:color w:val="auto"/>
        </w:rPr>
        <w:t>8.12.202</w:t>
      </w:r>
      <w:r w:rsidR="008874CE" w:rsidRPr="00382B3C">
        <w:rPr>
          <w:rFonts w:asciiTheme="minorHAnsi" w:hAnsiTheme="minorHAnsi" w:cstheme="minorHAnsi"/>
          <w:b/>
          <w:color w:val="auto"/>
        </w:rPr>
        <w:t>6</w:t>
      </w:r>
      <w:r w:rsidRPr="00382B3C">
        <w:rPr>
          <w:rFonts w:asciiTheme="minorHAnsi" w:hAnsiTheme="minorHAnsi" w:cstheme="minorHAnsi"/>
          <w:color w:val="auto"/>
        </w:rPr>
        <w:t>. Povinnost se nevztahuje na snížení celkových nákladů projektu v návaznosti na výši přidělené dotace a</w:t>
      </w:r>
      <w:r w:rsidR="00152F17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nevztahuje se na takové změny rozpočtu projektu, které se nedotýkají struktury dotace stanovené rozhodnutím. </w:t>
      </w:r>
    </w:p>
    <w:p w:rsidR="00203B3D" w:rsidRPr="00382B3C" w:rsidRDefault="0050675F" w:rsidP="00FA69FA">
      <w:pPr>
        <w:numPr>
          <w:ilvl w:val="0"/>
          <w:numId w:val="16"/>
        </w:numPr>
        <w:spacing w:after="9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Výše uvedené změny oznamuje za příjemce podpory prostřednictvím DPMK oprávněný uživatel, nikoliv jiní uživatelé dle bodu 6 písm. f) výzvy. Žádosti o změnu projektu nemusí být vyhověno. </w:t>
      </w:r>
    </w:p>
    <w:p w:rsidR="00FA69FA" w:rsidRPr="00382B3C" w:rsidRDefault="00FA69FA" w:rsidP="002F5B76">
      <w:pPr>
        <w:spacing w:after="0"/>
        <w:ind w:left="705" w:right="0" w:firstLine="0"/>
        <w:rPr>
          <w:rFonts w:asciiTheme="minorHAnsi" w:hAnsiTheme="minorHAnsi" w:cstheme="minorHAnsi"/>
          <w:color w:val="auto"/>
        </w:rPr>
      </w:pPr>
    </w:p>
    <w:p w:rsidR="00745FB1" w:rsidRPr="00382B3C" w:rsidRDefault="00745FB1" w:rsidP="002F5B76">
      <w:pPr>
        <w:spacing w:after="0"/>
        <w:ind w:left="705" w:right="0" w:firstLine="0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5767AF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24" w:name="_Toc203367691"/>
      <w:r w:rsidRPr="00F70D27">
        <w:rPr>
          <w:rFonts w:asciiTheme="minorHAnsi" w:hAnsiTheme="minorHAnsi" w:cstheme="minorHAnsi"/>
          <w:sz w:val="24"/>
          <w:szCs w:val="24"/>
        </w:rPr>
        <w:t xml:space="preserve">15. </w:t>
      </w:r>
      <w:r w:rsidRPr="00F70D27">
        <w:rPr>
          <w:sz w:val="24"/>
          <w:szCs w:val="24"/>
        </w:rPr>
        <w:t>Vyúčtování a finanční kontrola přidělené dotace</w:t>
      </w:r>
      <w:bookmarkEnd w:id="24"/>
      <w:r w:rsidRPr="00F70D27">
        <w:rPr>
          <w:sz w:val="24"/>
          <w:szCs w:val="24"/>
        </w:rPr>
        <w:t xml:space="preserve">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bookmarkStart w:id="25" w:name="_GoBack"/>
      <w:r w:rsidRPr="00382B3C">
        <w:rPr>
          <w:rFonts w:asciiTheme="minorHAnsi" w:hAnsiTheme="minorHAnsi" w:cstheme="minorHAnsi"/>
          <w:color w:val="auto"/>
        </w:rPr>
        <w:t xml:space="preserve">Dotace jsou poskytovány účelově a podmínky pro jejich použití, včetně termínů jejich </w:t>
      </w:r>
      <w:bookmarkEnd w:id="25"/>
      <w:r w:rsidRPr="00382B3C">
        <w:rPr>
          <w:rFonts w:asciiTheme="minorHAnsi" w:hAnsiTheme="minorHAnsi" w:cstheme="minorHAnsi"/>
          <w:color w:val="auto"/>
        </w:rPr>
        <w:t xml:space="preserve">vyúčtování, jsou součástí rozhodnutí, které vydá MKČR.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Příjemce dotace je povinen předložit prostřednictvím DPMK vyúčtování dotace, včetně vyúčtování skutečných nákladů a příjmů realizovaného projektu. Toto předloží příjemce dotace MKČR v souladu s vyhláškou č. 367/2015 Sb., o zásadách a lhůtách finančního vypořádání vztahů se státním rozpočtem, státními finančními aktivy a Národním fondem (vyhláška o</w:t>
      </w:r>
      <w:r w:rsidR="00152F17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finančním vypořádání) společně s písemnou závěrečnou zpráv</w:t>
      </w:r>
      <w:r w:rsidR="009E4FB5">
        <w:rPr>
          <w:rFonts w:asciiTheme="minorHAnsi" w:hAnsiTheme="minorHAnsi" w:cstheme="minorHAnsi"/>
          <w:color w:val="auto"/>
        </w:rPr>
        <w:t>o</w:t>
      </w:r>
      <w:r w:rsidRPr="00382B3C">
        <w:rPr>
          <w:rFonts w:asciiTheme="minorHAnsi" w:hAnsiTheme="minorHAnsi" w:cstheme="minorHAnsi"/>
          <w:color w:val="auto"/>
        </w:rPr>
        <w:t xml:space="preserve">u o realizaci a výsledcích projektu dle pokynů MKČR v termínu a formě stanovené v rozhodnutí. Výše uvedené předkládá prostřednictvím DPMK oprávněný uživatel, nikoliv jiní uživatelé dle bodu 6 písm. f) výzvy.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Termín vyúčtování dotace </w:t>
      </w:r>
      <w:r w:rsidR="001370AC" w:rsidRPr="003A0088">
        <w:rPr>
          <w:rFonts w:asciiTheme="minorHAnsi" w:hAnsiTheme="minorHAnsi" w:cstheme="minorHAnsi"/>
          <w:b/>
          <w:color w:val="FF0000"/>
        </w:rPr>
        <w:t>22</w:t>
      </w:r>
      <w:r w:rsidRPr="003A0088">
        <w:rPr>
          <w:rFonts w:asciiTheme="minorHAnsi" w:hAnsiTheme="minorHAnsi" w:cstheme="minorHAnsi"/>
          <w:b/>
          <w:color w:val="FF0000"/>
        </w:rPr>
        <w:t>.01.202</w:t>
      </w:r>
      <w:r w:rsidR="008874CE" w:rsidRPr="003A0088">
        <w:rPr>
          <w:rFonts w:asciiTheme="minorHAnsi" w:hAnsiTheme="minorHAnsi" w:cstheme="minorHAnsi"/>
          <w:b/>
          <w:color w:val="FF0000"/>
        </w:rPr>
        <w:t>7</w:t>
      </w:r>
      <w:r w:rsidRPr="00382B3C">
        <w:rPr>
          <w:rFonts w:asciiTheme="minorHAnsi" w:hAnsiTheme="minorHAnsi" w:cstheme="minorHAnsi"/>
          <w:color w:val="auto"/>
        </w:rPr>
        <w:t xml:space="preserve">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Vyúčtování bude obsahovat kompletní vyčíslení všech nákladů a příjmů projektu s rozpisem na</w:t>
      </w:r>
      <w:r w:rsidR="008F776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jednotlivé položky s vyznačením těch, které byly hrazeny z dotace včetně uvedení všech dodavatelů a subdodavatelů.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Veškeré účetní doklady hrazené z dotace musí obsahovat registrační číslo projektu získané při</w:t>
      </w:r>
      <w:r w:rsidR="00CE443A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podání žádosti v DPMK, aby bylo možné jednoznačně identifikovat, ke kterému projektu se</w:t>
      </w:r>
      <w:r w:rsidR="004928D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účetní doklady vztahují.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lastRenderedPageBreak/>
        <w:t>Účetní doklady přiřazené k projektu v účetnictví příjemce se musí vztahovat vždy pouze ke</w:t>
      </w:r>
      <w:r w:rsidR="008F776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způsobilým nákladům daného projektu.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Příjemce dotace je povinen na základě výzvy předložit ke kontrole jednotlivé účetní doklady hrazené z dotace, stejně jako doklady o jejich úhradě a zaúčtování.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Dojde-li k úspoře vynaložených finančních prostředků, má se za to, že došlo k úspoře prostředků ze státního rozpočtu a ty musí být navráceny zpět.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rozhodnutí o poskytnutí dotace. </w:t>
      </w:r>
    </w:p>
    <w:p w:rsidR="00203B3D" w:rsidRPr="00382B3C" w:rsidRDefault="0050675F" w:rsidP="004A6015">
      <w:pPr>
        <w:numPr>
          <w:ilvl w:val="0"/>
          <w:numId w:val="17"/>
        </w:numPr>
        <w:spacing w:after="12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</w:t>
      </w:r>
      <w:proofErr w:type="gramStart"/>
      <w:r w:rsidRPr="00382B3C">
        <w:rPr>
          <w:rFonts w:asciiTheme="minorHAnsi" w:hAnsiTheme="minorHAnsi" w:cstheme="minorHAnsi"/>
          <w:color w:val="auto"/>
        </w:rPr>
        <w:t>44a</w:t>
      </w:r>
      <w:proofErr w:type="gramEnd"/>
      <w:r w:rsidRPr="00382B3C">
        <w:rPr>
          <w:rFonts w:asciiTheme="minorHAnsi" w:hAnsiTheme="minorHAnsi" w:cstheme="minorHAnsi"/>
          <w:color w:val="auto"/>
        </w:rPr>
        <w:t xml:space="preserve"> rozpočtových pravidel uložit místně příslušný finanční úřad odvod za</w:t>
      </w:r>
      <w:r w:rsidR="008F776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porušení rozpočtové kázně a penále. Za méně závažné porušení povinností příjemce dotace, za které se uloží odvod ve výši</w:t>
      </w:r>
      <w:r w:rsidRPr="00382B3C">
        <w:rPr>
          <w:rFonts w:asciiTheme="minorHAnsi" w:hAnsiTheme="minorHAnsi" w:cstheme="minorHAnsi"/>
          <w:i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>5 % z celkové částky dotace, se ve smyslu § 14 odst. 5 zákona č.</w:t>
      </w:r>
      <w:r w:rsidR="008F776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218/2000 Sb. považuje:  </w:t>
      </w:r>
    </w:p>
    <w:p w:rsidR="00203B3D" w:rsidRPr="00382B3C" w:rsidRDefault="0050675F">
      <w:pPr>
        <w:numPr>
          <w:ilvl w:val="1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porušení povinnosti příjemce uvádět na materiálech vytvořených v rámci projektu nebo souvisejících s jeho realizací, že se projekt uskutečňuje za finanční podpory MKČR,  </w:t>
      </w:r>
    </w:p>
    <w:p w:rsidR="00A46B13" w:rsidRPr="00382B3C" w:rsidRDefault="0050675F">
      <w:pPr>
        <w:numPr>
          <w:ilvl w:val="1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nedodržení lhůt pro zaslání závěrečné zprávy, </w:t>
      </w:r>
    </w:p>
    <w:p w:rsidR="00203B3D" w:rsidRPr="00382B3C" w:rsidRDefault="0050675F">
      <w:pPr>
        <w:numPr>
          <w:ilvl w:val="1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nedodržení lhůt pro předložení vyúčtování, </w:t>
      </w:r>
    </w:p>
    <w:p w:rsidR="00203B3D" w:rsidRPr="00382B3C" w:rsidRDefault="0050675F" w:rsidP="004A6015">
      <w:pPr>
        <w:numPr>
          <w:ilvl w:val="1"/>
          <w:numId w:val="17"/>
        </w:numPr>
        <w:spacing w:after="12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nedodržení struktury dotace.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Příjemce je povinen umožnit MKČR provedení kontroly daných údajů a dokladů a dodržování podmínek stanovených rozhodnutím a poskytnout k tomu nezbytnou součinnost.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Příjemce je povinen strpět, že MKČR ze závažných důvodů, zejména při důvodném podezření na porušení rozpočtové kázně příjemcem pozastaví proplácení dotace.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Ověřování správností použití poskytnutých finančních prostředků podléhá kontrole MKČR, místně příslušného finančního úřadu a Nejvyššímu kontrolnímu úřadu. </w:t>
      </w:r>
    </w:p>
    <w:p w:rsidR="00203B3D" w:rsidRPr="00382B3C" w:rsidRDefault="0050675F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zákonů, v platném znění. </w:t>
      </w:r>
    </w:p>
    <w:p w:rsidR="00897B32" w:rsidRPr="00382B3C" w:rsidRDefault="0050675F" w:rsidP="006526C3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MKČR upozorňuje na ustanovení § 14 odst. 11 zákona č. 218/2000 Sb.: Fyzická nebo právnická osoba, která zaplatila za pořízení věcí nebo služeb, obstarání výkonů, provedení prací nebo za</w:t>
      </w:r>
      <w:r w:rsidR="00932A9D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 </w:t>
      </w:r>
    </w:p>
    <w:p w:rsidR="00897B32" w:rsidRPr="00382B3C" w:rsidRDefault="0030778C" w:rsidP="006526C3">
      <w:pPr>
        <w:numPr>
          <w:ilvl w:val="0"/>
          <w:numId w:val="17"/>
        </w:numPr>
        <w:ind w:right="0" w:hanging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="00897B32" w:rsidRPr="00382B3C">
        <w:rPr>
          <w:rFonts w:asciiTheme="minorHAnsi" w:hAnsiTheme="minorHAnsi" w:cstheme="minorHAnsi"/>
          <w:color w:val="auto"/>
        </w:rPr>
        <w:t xml:space="preserve">říjemce prokazatelně zašle kulturně historické materiály a dokumentaci </w:t>
      </w:r>
      <w:r w:rsidR="00897B32" w:rsidRPr="00382B3C">
        <w:rPr>
          <w:rFonts w:asciiTheme="minorHAnsi" w:hAnsiTheme="minorHAnsi" w:cstheme="minorHAnsi"/>
          <w:color w:val="auto"/>
          <w:u w:val="single"/>
        </w:rPr>
        <w:t>z významných folklorních přehlídek a festivalů</w:t>
      </w:r>
      <w:r w:rsidR="00897B32" w:rsidRPr="00382B3C">
        <w:rPr>
          <w:rFonts w:asciiTheme="minorHAnsi" w:hAnsiTheme="minorHAnsi" w:cstheme="minorHAnsi"/>
          <w:color w:val="auto"/>
        </w:rPr>
        <w:t xml:space="preserve"> (např. hodnocení akce, scénáře, propagační materiály, informace o zahraničních či domácích souborech, případně </w:t>
      </w:r>
      <w:proofErr w:type="spellStart"/>
      <w:r w:rsidR="00897B32" w:rsidRPr="00382B3C">
        <w:rPr>
          <w:rFonts w:asciiTheme="minorHAnsi" w:hAnsiTheme="minorHAnsi" w:cstheme="minorHAnsi"/>
          <w:color w:val="auto"/>
        </w:rPr>
        <w:t>videodokumentaci</w:t>
      </w:r>
      <w:proofErr w:type="spellEnd"/>
      <w:r w:rsidR="00897B32" w:rsidRPr="00382B3C">
        <w:rPr>
          <w:rFonts w:asciiTheme="minorHAnsi" w:hAnsiTheme="minorHAnsi" w:cstheme="minorHAnsi"/>
          <w:color w:val="auto"/>
        </w:rPr>
        <w:t xml:space="preserve">) </w:t>
      </w:r>
      <w:r w:rsidR="00897B32" w:rsidRPr="00382B3C">
        <w:rPr>
          <w:rFonts w:asciiTheme="minorHAnsi" w:hAnsiTheme="minorHAnsi" w:cstheme="minorHAnsi"/>
          <w:color w:val="auto"/>
          <w:u w:val="single"/>
        </w:rPr>
        <w:t>a výstupy z projektů v oblasti péče o tradiční lidovou kulturu</w:t>
      </w:r>
      <w:r w:rsidR="00897B32" w:rsidRPr="00382B3C">
        <w:rPr>
          <w:rFonts w:asciiTheme="minorHAnsi" w:hAnsiTheme="minorHAnsi" w:cstheme="minorHAnsi"/>
          <w:color w:val="auto"/>
        </w:rPr>
        <w:t xml:space="preserve"> Národnímu ústavu lidové kultury, Zámek 1, 696 62 Strážnice (týká se pouze nejvýznamnějších přehlídek a festivalů). Datum odeslání materiálů uvede příjemce v Závěrečné zprávě o realizaci projektu, která je součástí vyúčtování</w:t>
      </w:r>
      <w:r>
        <w:rPr>
          <w:rFonts w:asciiTheme="minorHAnsi" w:hAnsiTheme="minorHAnsi" w:cstheme="minorHAnsi"/>
          <w:color w:val="auto"/>
        </w:rPr>
        <w:t>.</w:t>
      </w:r>
    </w:p>
    <w:p w:rsidR="00897B32" w:rsidRDefault="0030778C" w:rsidP="00897B32">
      <w:pPr>
        <w:numPr>
          <w:ilvl w:val="0"/>
          <w:numId w:val="17"/>
        </w:numPr>
        <w:spacing w:after="10"/>
        <w:ind w:right="0" w:hanging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</w:t>
      </w:r>
      <w:r w:rsidR="00897B32" w:rsidRPr="00382B3C">
        <w:rPr>
          <w:rFonts w:asciiTheme="minorHAnsi" w:hAnsiTheme="minorHAnsi" w:cstheme="minorHAnsi"/>
          <w:color w:val="auto"/>
        </w:rPr>
        <w:t>e-li dotace poskytnuta na vydání publikace, jiné neperiodické tiskoviny nebo jiného nosiče (CD, DVD apod.), je příjemce povinen předat MK nejméně 2 výtisky publikace nebo jiné neperiodické tiskoviny či 2 exempláře jiného nosiče, a to nejpozději s vyúčtováním. V případě, že publikace, jiné neperiodické tiskoviny či jiné nosiče nebyly vydány do 31. 12. 202</w:t>
      </w:r>
      <w:r>
        <w:rPr>
          <w:rFonts w:asciiTheme="minorHAnsi" w:hAnsiTheme="minorHAnsi" w:cstheme="minorHAnsi"/>
          <w:color w:val="auto"/>
        </w:rPr>
        <w:t>6</w:t>
      </w:r>
      <w:r w:rsidR="00897B32" w:rsidRPr="00382B3C">
        <w:rPr>
          <w:rFonts w:asciiTheme="minorHAnsi" w:hAnsiTheme="minorHAnsi" w:cstheme="minorHAnsi"/>
          <w:color w:val="auto"/>
        </w:rPr>
        <w:t>, příjemce je povinen vrátit celou dotaci.</w:t>
      </w:r>
    </w:p>
    <w:p w:rsidR="00203B3D" w:rsidRDefault="0050675F" w:rsidP="00635715">
      <w:pPr>
        <w:pStyle w:val="Nadpis1"/>
        <w:rPr>
          <w:rStyle w:val="Nadpis1Char"/>
          <w:rFonts w:asciiTheme="minorHAnsi" w:hAnsiTheme="minorHAnsi" w:cstheme="minorHAnsi"/>
          <w:sz w:val="24"/>
          <w:szCs w:val="24"/>
        </w:rPr>
      </w:pPr>
      <w:bookmarkStart w:id="26" w:name="_Toc203367692"/>
      <w:r w:rsidRPr="00F70D27">
        <w:rPr>
          <w:rFonts w:asciiTheme="minorHAnsi" w:hAnsiTheme="minorHAnsi" w:cstheme="minorHAnsi"/>
          <w:sz w:val="24"/>
          <w:szCs w:val="24"/>
        </w:rPr>
        <w:lastRenderedPageBreak/>
        <w:t xml:space="preserve">16.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Publicita</w:t>
      </w:r>
      <w:bookmarkEnd w:id="26"/>
    </w:p>
    <w:p w:rsidR="00203B3D" w:rsidRPr="00382B3C" w:rsidRDefault="0050675F">
      <w:pPr>
        <w:numPr>
          <w:ilvl w:val="0"/>
          <w:numId w:val="18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Příjemce je povinen zajistit informování veřejnosti o tom, že projekt byl realizován za finanční podpory MKČR. Na propagačních materiálech, webových stránkách či dalších výstupech souvisejících s projektem příjemce umístí logo MKČR a informaci o tom, že se projekt uskutečňuje za finanční podpory MKČR.  </w:t>
      </w:r>
    </w:p>
    <w:p w:rsidR="00203B3D" w:rsidRPr="00382B3C" w:rsidRDefault="0050675F" w:rsidP="00745FB1">
      <w:pPr>
        <w:numPr>
          <w:ilvl w:val="0"/>
          <w:numId w:val="18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Logo je dostupné na webových stránkách MKČR</w:t>
      </w:r>
      <w:hyperlink r:id="rId14">
        <w:r w:rsidRPr="00382B3C">
          <w:rPr>
            <w:rFonts w:asciiTheme="minorHAnsi" w:hAnsiTheme="minorHAnsi" w:cstheme="minorHAnsi"/>
            <w:color w:val="auto"/>
          </w:rPr>
          <w:t xml:space="preserve"> </w:t>
        </w:r>
      </w:hyperlink>
      <w:hyperlink r:id="rId15">
        <w:r w:rsidRPr="00382B3C">
          <w:rPr>
            <w:rFonts w:asciiTheme="minorHAnsi" w:hAnsiTheme="minorHAnsi" w:cstheme="minorHAnsi"/>
            <w:color w:val="auto"/>
            <w:u w:val="single" w:color="0563C1"/>
          </w:rPr>
          <w:t xml:space="preserve">Logo a </w:t>
        </w:r>
      </w:hyperlink>
      <w:hyperlink r:id="rId16">
        <w:r w:rsidRPr="00382B3C">
          <w:rPr>
            <w:rFonts w:asciiTheme="minorHAnsi" w:hAnsiTheme="minorHAnsi" w:cstheme="minorHAnsi"/>
            <w:color w:val="auto"/>
            <w:u w:val="single" w:color="0563C1"/>
          </w:rPr>
          <w:t>znělka | mkcr.cz (gov.cz)</w:t>
        </w:r>
      </w:hyperlink>
      <w:r w:rsidR="00745FB1" w:rsidRPr="00382B3C">
        <w:rPr>
          <w:rFonts w:asciiTheme="minorHAnsi" w:hAnsiTheme="minorHAnsi" w:cstheme="minorHAnsi"/>
          <w:color w:val="auto"/>
        </w:rPr>
        <w:t xml:space="preserve"> </w:t>
      </w:r>
    </w:p>
    <w:p w:rsidR="00944209" w:rsidRDefault="00944209" w:rsidP="00635715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27" w:name="_Toc203367693"/>
    </w:p>
    <w:p w:rsidR="00944209" w:rsidRDefault="00944209" w:rsidP="00635715">
      <w:pPr>
        <w:pStyle w:val="Nadpis1"/>
        <w:rPr>
          <w:rFonts w:asciiTheme="minorHAnsi" w:hAnsiTheme="minorHAnsi" w:cstheme="minorHAnsi"/>
          <w:sz w:val="24"/>
          <w:szCs w:val="24"/>
        </w:rPr>
      </w:pPr>
    </w:p>
    <w:p w:rsidR="00203B3D" w:rsidRPr="007A5EAD" w:rsidRDefault="0050675F" w:rsidP="00635715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7A5EAD">
        <w:rPr>
          <w:rFonts w:asciiTheme="minorHAnsi" w:hAnsiTheme="minorHAnsi" w:cstheme="minorHAnsi"/>
          <w:sz w:val="24"/>
          <w:szCs w:val="24"/>
        </w:rPr>
        <w:t xml:space="preserve">17. </w:t>
      </w:r>
      <w:r w:rsidRPr="007A5EAD">
        <w:rPr>
          <w:rStyle w:val="Nadpis1Char"/>
          <w:rFonts w:asciiTheme="minorHAnsi" w:hAnsiTheme="minorHAnsi" w:cstheme="minorHAnsi"/>
          <w:sz w:val="24"/>
          <w:szCs w:val="24"/>
        </w:rPr>
        <w:t>Další podmínky poskytnutí dotace</w:t>
      </w:r>
      <w:bookmarkEnd w:id="27"/>
      <w:r w:rsidRPr="007A5EA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3B3D" w:rsidRPr="00382B3C" w:rsidRDefault="0050675F" w:rsidP="0038782A">
      <w:pPr>
        <w:spacing w:after="120"/>
        <w:ind w:right="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Příjemce dotace je povinen: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dodržet strukturu poskytnuté dotace v souladu s rozhodnutím;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zrealizovat projekt v rozsahu a kvalitě podle předložené žádosti o dotaci nejpozději do 31.12. roku, na který byla dotace poskytnuta;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podíl dotace ze státního rozpočtu na financování projektu na jeho realizaci činí nejvýše</w:t>
      </w:r>
      <w:r w:rsidRPr="00382B3C">
        <w:rPr>
          <w:rFonts w:asciiTheme="minorHAnsi" w:hAnsiTheme="minorHAnsi" w:cstheme="minorHAnsi"/>
          <w:i/>
          <w:color w:val="auto"/>
        </w:rPr>
        <w:t xml:space="preserve"> </w:t>
      </w:r>
      <w:r w:rsidRPr="00382B3C">
        <w:rPr>
          <w:rFonts w:asciiTheme="minorHAnsi" w:hAnsiTheme="minorHAnsi" w:cstheme="minorHAnsi"/>
          <w:color w:val="auto"/>
        </w:rPr>
        <w:t>70 % z</w:t>
      </w:r>
      <w:r w:rsidR="00152F17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celkových skutečných nákladů.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pokud se sníží celkový rozpočet projektu tak, že by výše dotace překročila stanovený procentuální limit, je příjemce dotace povinen vrátit její poměrnou část, aby byl tento limit zachován.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>pokud se projekt neuskuteční, tuto skutečnost bez zbytečného odkladu oznámit prostřednictvím DPMK a do 30 dnů od oznámení vrátit nepoužitou dotaci nebo její část MKČR, o čemž jej rovněž vyrozumí prostřednictvím DPMK (pokud se vrací dotace nebo její část až v</w:t>
      </w:r>
      <w:r w:rsidR="00152F17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období po 1. lednu roku následujícího po roce, na který byla dotace poskytnuta, je příjemce dotace povinen vrátit ji do 15. února). Náklady hospodárně, účelně a efektivně vynaložené v</w:t>
      </w:r>
      <w:r w:rsidR="00152F17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>dobré víře příjemcem na akce nebo dílčí kroky v přímé souvislosti s projektem se považují za</w:t>
      </w:r>
      <w:r w:rsidR="008F776E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náklady vynaložené na účel uvedený v rozhodnutí.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postupovat v souladu se zákonem č. 134/2016 Sb., o zadávání veřejných zakázek, v platném znění, pokud použije prostředky státního rozpočtu k úhradě zakázky, která je nadlimitní nebo podlimitní veřejnou zakázkou podle tohoto zákona.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předložit roční zprávu o svých aktivitách v rozpočtovém období, v němž byla dotace poskytnuta, pokud jej k tomu MKČR vyzve. </w:t>
      </w:r>
    </w:p>
    <w:p w:rsidR="00203B3D" w:rsidRPr="00382B3C" w:rsidRDefault="0050675F">
      <w:pPr>
        <w:numPr>
          <w:ilvl w:val="0"/>
          <w:numId w:val="19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nevyčerpané nebo vracené finanční prostředky (týká se vracení v průběhu roku) vrátit dle pokynů v rozhodnutí a předložit prostřednictvím DPMK finanční vypořádání dotace. </w:t>
      </w:r>
    </w:p>
    <w:p w:rsidR="00203B3D" w:rsidRPr="00382B3C" w:rsidRDefault="0050675F" w:rsidP="00745FB1">
      <w:pPr>
        <w:numPr>
          <w:ilvl w:val="0"/>
          <w:numId w:val="19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před případným zánikem přednostně vypořádat vztahy se státním rozpočtem. </w:t>
      </w:r>
    </w:p>
    <w:p w:rsidR="00745FB1" w:rsidRDefault="00745FB1" w:rsidP="00382B3C">
      <w:pPr>
        <w:spacing w:after="0"/>
        <w:ind w:left="705" w:right="0" w:firstLine="0"/>
        <w:rPr>
          <w:rFonts w:asciiTheme="minorHAnsi" w:hAnsiTheme="minorHAnsi" w:cstheme="minorHAnsi"/>
          <w:color w:val="auto"/>
        </w:rPr>
      </w:pPr>
    </w:p>
    <w:p w:rsidR="00382B3C" w:rsidRPr="00382B3C" w:rsidRDefault="00382B3C" w:rsidP="00382B3C">
      <w:pPr>
        <w:spacing w:after="0"/>
        <w:ind w:left="705" w:right="0" w:firstLine="0"/>
        <w:rPr>
          <w:rFonts w:asciiTheme="minorHAnsi" w:hAnsiTheme="minorHAnsi" w:cstheme="minorHAnsi"/>
          <w:color w:val="auto"/>
        </w:rPr>
      </w:pPr>
    </w:p>
    <w:p w:rsidR="00203B3D" w:rsidRPr="00F70D27" w:rsidRDefault="0050675F" w:rsidP="005767AF">
      <w:pPr>
        <w:pStyle w:val="Nadpis1"/>
        <w:rPr>
          <w:rStyle w:val="Nadpis1Char"/>
          <w:rFonts w:asciiTheme="minorHAnsi" w:hAnsiTheme="minorHAnsi" w:cstheme="minorHAnsi"/>
          <w:sz w:val="24"/>
          <w:szCs w:val="24"/>
        </w:rPr>
      </w:pPr>
      <w:bookmarkStart w:id="28" w:name="_Toc203367694"/>
      <w:r w:rsidRPr="00F70D27">
        <w:rPr>
          <w:rFonts w:asciiTheme="minorHAnsi" w:hAnsiTheme="minorHAnsi" w:cstheme="minorHAnsi"/>
          <w:sz w:val="24"/>
          <w:szCs w:val="24"/>
        </w:rPr>
        <w:t xml:space="preserve">18. </w:t>
      </w:r>
      <w:r w:rsidRPr="00F70D27">
        <w:rPr>
          <w:rStyle w:val="Nadpis1Char"/>
          <w:rFonts w:asciiTheme="minorHAnsi" w:hAnsiTheme="minorHAnsi" w:cstheme="minorHAnsi"/>
          <w:sz w:val="24"/>
          <w:szCs w:val="24"/>
        </w:rPr>
        <w:t>Obecné zásady</w:t>
      </w:r>
      <w:bookmarkEnd w:id="28"/>
    </w:p>
    <w:p w:rsidR="00203B3D" w:rsidRPr="00382B3C" w:rsidRDefault="0050675F">
      <w:pPr>
        <w:numPr>
          <w:ilvl w:val="0"/>
          <w:numId w:val="2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Proti rozhodnutí není přípustné odvolání ani rozklad. Obnova řízení se nepřipouští. Přezkumné řízení se nepřipouští, s výjimkou postupu podle § 153 odst. 1 písm. a) správního řádu. </w:t>
      </w:r>
    </w:p>
    <w:p w:rsidR="00203B3D" w:rsidRPr="00382B3C" w:rsidRDefault="0050675F">
      <w:pPr>
        <w:numPr>
          <w:ilvl w:val="0"/>
          <w:numId w:val="2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MKČR si na základě ustanovení § 14k odst. 3 rozpočtových pravidel vyhrazuje, že může kdykoliv v průběhu řízení vyzvat žadatele o poskytnutí dotace prostřednictvím DPMK k doložení dalších podkladů nebo údajů nezbytných pro vydání rozhodnutí o poskytnutí dotace. Lhůta na doložení dalších podkladů bude MKČR stanovena přiměřeně k povaze požadovaných dokladů. </w:t>
      </w:r>
    </w:p>
    <w:p w:rsidR="00203B3D" w:rsidRPr="00382B3C" w:rsidRDefault="0050675F">
      <w:pPr>
        <w:numPr>
          <w:ilvl w:val="0"/>
          <w:numId w:val="2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Na dotaci není právní nárok. </w:t>
      </w:r>
    </w:p>
    <w:p w:rsidR="00203B3D" w:rsidRPr="00382B3C" w:rsidRDefault="0050675F">
      <w:pPr>
        <w:numPr>
          <w:ilvl w:val="0"/>
          <w:numId w:val="2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MKČR upozorňuje, že na základě žádostí podaných mimo toto výběrové dotační řízení není možné poskytnout dotaci. </w:t>
      </w:r>
    </w:p>
    <w:p w:rsidR="00203B3D" w:rsidRPr="00382B3C" w:rsidRDefault="0050675F">
      <w:pPr>
        <w:numPr>
          <w:ilvl w:val="0"/>
          <w:numId w:val="20"/>
        </w:numPr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Údaje o poskytnutých dotacích a příjemcích dotací budou zveřejněny </w:t>
      </w:r>
      <w:bookmarkStart w:id="29" w:name="_Hlk203060146"/>
      <w:r w:rsidRPr="00382B3C">
        <w:rPr>
          <w:rFonts w:asciiTheme="minorHAnsi" w:hAnsiTheme="minorHAnsi" w:cstheme="minorHAnsi"/>
          <w:color w:val="auto"/>
        </w:rPr>
        <w:t>v</w:t>
      </w:r>
      <w:r w:rsidR="00A00252" w:rsidRPr="00382B3C">
        <w:rPr>
          <w:rFonts w:asciiTheme="minorHAnsi" w:hAnsiTheme="minorHAnsi" w:cstheme="minorHAnsi"/>
          <w:color w:val="auto"/>
        </w:rPr>
        <w:t> Registru dotací</w:t>
      </w:r>
      <w:r w:rsidR="00A00252" w:rsidRPr="00382B3C">
        <w:rPr>
          <w:rFonts w:asciiTheme="minorHAnsi" w:hAnsiTheme="minorHAnsi" w:cstheme="minorHAnsi"/>
          <w:strike/>
          <w:color w:val="auto"/>
        </w:rPr>
        <w:t xml:space="preserve"> </w:t>
      </w:r>
      <w:r w:rsidR="00A00252" w:rsidRPr="00382B3C">
        <w:rPr>
          <w:rFonts w:asciiTheme="minorHAnsi" w:hAnsiTheme="minorHAnsi" w:cstheme="minorHAnsi"/>
          <w:color w:val="auto"/>
        </w:rPr>
        <w:t>(</w:t>
      </w:r>
      <w:hyperlink r:id="rId17" w:history="1">
        <w:r w:rsidR="00A00252" w:rsidRPr="00382B3C">
          <w:rPr>
            <w:rStyle w:val="Hypertextovodkaz"/>
            <w:rFonts w:asciiTheme="minorHAnsi" w:hAnsiTheme="minorHAnsi" w:cstheme="minorHAnsi"/>
            <w:color w:val="auto"/>
          </w:rPr>
          <w:t>red.fs.gov.cz</w:t>
        </w:r>
      </w:hyperlink>
      <w:r w:rsidR="00A00252" w:rsidRPr="00382B3C">
        <w:rPr>
          <w:rFonts w:asciiTheme="minorHAnsi" w:hAnsiTheme="minorHAnsi" w:cstheme="minorHAnsi"/>
          <w:color w:val="auto"/>
        </w:rPr>
        <w:t>)</w:t>
      </w:r>
      <w:r w:rsidR="008570DD" w:rsidRPr="00382B3C">
        <w:rPr>
          <w:rFonts w:asciiTheme="minorHAnsi" w:hAnsiTheme="minorHAnsi" w:cstheme="minorHAnsi"/>
          <w:color w:val="auto"/>
        </w:rPr>
        <w:t>,</w:t>
      </w:r>
      <w:r w:rsidR="00CD1466" w:rsidRPr="00382B3C">
        <w:rPr>
          <w:rFonts w:asciiTheme="minorHAnsi" w:hAnsiTheme="minorHAnsi" w:cstheme="minorHAnsi"/>
          <w:color w:val="auto"/>
        </w:rPr>
        <w:t xml:space="preserve"> </w:t>
      </w:r>
      <w:bookmarkEnd w:id="29"/>
      <w:r w:rsidRPr="00382B3C">
        <w:rPr>
          <w:rFonts w:asciiTheme="minorHAnsi" w:hAnsiTheme="minorHAnsi" w:cstheme="minorHAnsi"/>
          <w:color w:val="auto"/>
        </w:rPr>
        <w:t xml:space="preserve">případně jiným způsobem podle platných právních předpisů a pokynů Ministerstva financí. </w:t>
      </w:r>
    </w:p>
    <w:p w:rsidR="00203B3D" w:rsidRPr="00382B3C" w:rsidRDefault="0050675F" w:rsidP="00AC3D17">
      <w:pPr>
        <w:numPr>
          <w:ilvl w:val="0"/>
          <w:numId w:val="20"/>
        </w:numPr>
        <w:spacing w:after="0"/>
        <w:ind w:right="0" w:hanging="360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lastRenderedPageBreak/>
        <w:t>MKČR upozorňuje na povinnost poskytovat statistické údaje podle zákona č. 89/1995 Sb.</w:t>
      </w:r>
      <w:proofErr w:type="gramStart"/>
      <w:r w:rsidRPr="00382B3C">
        <w:rPr>
          <w:rFonts w:asciiTheme="minorHAnsi" w:hAnsiTheme="minorHAnsi" w:cstheme="minorHAnsi"/>
          <w:color w:val="auto"/>
        </w:rPr>
        <w:t>,  o</w:t>
      </w:r>
      <w:proofErr w:type="gramEnd"/>
      <w:r w:rsidR="00152F17" w:rsidRPr="00382B3C">
        <w:rPr>
          <w:rFonts w:asciiTheme="minorHAnsi" w:hAnsiTheme="minorHAnsi" w:cstheme="minorHAnsi"/>
          <w:color w:val="auto"/>
        </w:rPr>
        <w:t> </w:t>
      </w:r>
      <w:r w:rsidRPr="00382B3C">
        <w:rPr>
          <w:rFonts w:asciiTheme="minorHAnsi" w:hAnsiTheme="minorHAnsi" w:cstheme="minorHAnsi"/>
          <w:color w:val="auto"/>
        </w:rPr>
        <w:t xml:space="preserve">státní statistické službě, v platném znění. </w:t>
      </w:r>
    </w:p>
    <w:p w:rsidR="00897B32" w:rsidRPr="00382B3C" w:rsidRDefault="00897B32" w:rsidP="00AC3D17">
      <w:pPr>
        <w:spacing w:after="0"/>
        <w:ind w:left="705" w:right="0" w:firstLine="0"/>
        <w:rPr>
          <w:rFonts w:asciiTheme="minorHAnsi" w:hAnsiTheme="minorHAnsi" w:cstheme="minorHAnsi"/>
          <w:color w:val="auto"/>
        </w:rPr>
      </w:pPr>
    </w:p>
    <w:p w:rsidR="00821B5E" w:rsidRPr="00382B3C" w:rsidRDefault="00821B5E" w:rsidP="00745FB1">
      <w:pPr>
        <w:pStyle w:val="Nadpis1"/>
        <w:rPr>
          <w:rFonts w:asciiTheme="minorHAnsi" w:hAnsiTheme="minorHAnsi" w:cstheme="minorHAnsi"/>
          <w:color w:val="auto"/>
          <w:sz w:val="22"/>
        </w:rPr>
      </w:pPr>
    </w:p>
    <w:p w:rsidR="00203B3D" w:rsidRPr="00F70D27" w:rsidRDefault="0050675F" w:rsidP="00382B3C">
      <w:pPr>
        <w:pStyle w:val="Nadpis1"/>
        <w:spacing w:after="120"/>
        <w:rPr>
          <w:rFonts w:asciiTheme="minorHAnsi" w:hAnsiTheme="minorHAnsi" w:cstheme="minorHAnsi"/>
          <w:sz w:val="24"/>
          <w:szCs w:val="24"/>
        </w:rPr>
      </w:pPr>
      <w:bookmarkStart w:id="30" w:name="_Toc203367695"/>
      <w:r w:rsidRPr="00F70D27">
        <w:rPr>
          <w:rFonts w:asciiTheme="minorHAnsi" w:hAnsiTheme="minorHAnsi" w:cstheme="minorHAnsi"/>
          <w:sz w:val="24"/>
          <w:szCs w:val="24"/>
        </w:rPr>
        <w:t>19. Kontakty</w:t>
      </w:r>
      <w:bookmarkEnd w:id="30"/>
      <w:r w:rsidRPr="00F70D27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03B3D" w:rsidRPr="00382B3C" w:rsidRDefault="0050675F">
      <w:pPr>
        <w:spacing w:after="159" w:line="259" w:lineRule="auto"/>
        <w:ind w:left="-5" w:right="0"/>
        <w:jc w:val="left"/>
        <w:rPr>
          <w:rFonts w:asciiTheme="minorHAnsi" w:hAnsiTheme="minorHAnsi" w:cstheme="minorHAnsi"/>
          <w:b/>
          <w:color w:val="auto"/>
        </w:rPr>
      </w:pPr>
      <w:r w:rsidRPr="00382B3C">
        <w:rPr>
          <w:rFonts w:asciiTheme="minorHAnsi" w:hAnsiTheme="minorHAnsi" w:cstheme="minorHAnsi"/>
          <w:b/>
          <w:color w:val="auto"/>
        </w:rPr>
        <w:t xml:space="preserve">Metodická podpora </w:t>
      </w:r>
    </w:p>
    <w:p w:rsidR="00203B3D" w:rsidRPr="00382B3C" w:rsidRDefault="00074783" w:rsidP="00232FDF">
      <w:pPr>
        <w:spacing w:after="0" w:line="402" w:lineRule="auto"/>
        <w:ind w:left="-5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PhDr. Jana Gombárová, Ph.D., e-mail: </w:t>
      </w:r>
      <w:hyperlink r:id="rId18" w:history="1">
        <w:r w:rsidR="007941E0" w:rsidRPr="00382B3C">
          <w:rPr>
            <w:rStyle w:val="Hypertextovodkaz"/>
            <w:rFonts w:asciiTheme="minorHAnsi" w:hAnsiTheme="minorHAnsi" w:cstheme="minorHAnsi"/>
            <w:color w:val="auto"/>
          </w:rPr>
          <w:t>jana.gombarova@mk.gov.cz</w:t>
        </w:r>
      </w:hyperlink>
      <w:r w:rsidR="007941E0" w:rsidRPr="00382B3C">
        <w:rPr>
          <w:rFonts w:asciiTheme="minorHAnsi" w:hAnsiTheme="minorHAnsi" w:cstheme="minorHAnsi"/>
          <w:color w:val="auto"/>
        </w:rPr>
        <w:t xml:space="preserve">, </w:t>
      </w:r>
      <w:r w:rsidRPr="00382B3C">
        <w:rPr>
          <w:rFonts w:asciiTheme="minorHAnsi" w:hAnsiTheme="minorHAnsi" w:cstheme="minorHAnsi"/>
          <w:color w:val="auto"/>
        </w:rPr>
        <w:t>tel.: 257 085 291 nebo 725 071 788</w:t>
      </w:r>
    </w:p>
    <w:p w:rsidR="00203B3D" w:rsidRPr="00382B3C" w:rsidRDefault="0050675F">
      <w:pPr>
        <w:spacing w:after="158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 </w:t>
      </w:r>
    </w:p>
    <w:p w:rsidR="00203B3D" w:rsidRPr="00382B3C" w:rsidRDefault="0050675F">
      <w:pPr>
        <w:spacing w:after="159" w:line="259" w:lineRule="auto"/>
        <w:ind w:left="-5" w:right="0"/>
        <w:jc w:val="left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b/>
          <w:color w:val="auto"/>
        </w:rPr>
        <w:t xml:space="preserve">Technická podpora </w:t>
      </w:r>
    </w:p>
    <w:p w:rsidR="00203B3D" w:rsidRPr="00382B3C" w:rsidRDefault="0050675F" w:rsidP="00964004">
      <w:pPr>
        <w:spacing w:after="0" w:line="401" w:lineRule="auto"/>
        <w:rPr>
          <w:rFonts w:asciiTheme="minorHAnsi" w:hAnsiTheme="minorHAnsi" w:cstheme="minorHAnsi"/>
          <w:color w:val="auto"/>
        </w:rPr>
      </w:pPr>
      <w:r w:rsidRPr="00382B3C">
        <w:rPr>
          <w:rFonts w:asciiTheme="minorHAnsi" w:hAnsiTheme="minorHAnsi" w:cstheme="minorHAnsi"/>
          <w:color w:val="auto"/>
        </w:rPr>
        <w:t xml:space="preserve">Provozní doba pondělí až pátek 8.00 až 17.00 hod tel.: +420 841 135 135 email: </w:t>
      </w:r>
      <w:r w:rsidRPr="00382B3C">
        <w:rPr>
          <w:rFonts w:asciiTheme="minorHAnsi" w:hAnsiTheme="minorHAnsi" w:cstheme="minorHAnsi"/>
          <w:color w:val="auto"/>
          <w:u w:val="single" w:color="0563C1"/>
        </w:rPr>
        <w:t>hotline-dpmk@asd-</w:t>
      </w:r>
      <w:r w:rsidR="00131CCF" w:rsidRPr="00382B3C">
        <w:rPr>
          <w:rFonts w:asciiTheme="minorHAnsi" w:hAnsiTheme="minorHAnsi" w:cstheme="minorHAnsi"/>
          <w:color w:val="auto"/>
          <w:u w:val="single" w:color="0563C1"/>
        </w:rPr>
        <w:t>s</w:t>
      </w:r>
      <w:r w:rsidRPr="00382B3C">
        <w:rPr>
          <w:rFonts w:asciiTheme="minorHAnsi" w:hAnsiTheme="minorHAnsi" w:cstheme="minorHAnsi"/>
          <w:color w:val="auto"/>
          <w:u w:val="single" w:color="0563C1"/>
        </w:rPr>
        <w:t>oftware.cz</w:t>
      </w:r>
      <w:r w:rsidRPr="00382B3C">
        <w:rPr>
          <w:rFonts w:asciiTheme="minorHAnsi" w:hAnsiTheme="minorHAnsi" w:cstheme="minorHAnsi"/>
          <w:color w:val="auto"/>
        </w:rPr>
        <w:t xml:space="preserve"> </w:t>
      </w:r>
    </w:p>
    <w:sectPr w:rsidR="00203B3D" w:rsidRPr="00382B3C" w:rsidSect="009640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2" w:bottom="851" w:left="1418" w:header="737" w:footer="28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9B" w:rsidRDefault="00E36A9B">
      <w:pPr>
        <w:spacing w:after="0" w:line="240" w:lineRule="auto"/>
      </w:pPr>
      <w:r>
        <w:separator/>
      </w:r>
    </w:p>
  </w:endnote>
  <w:endnote w:type="continuationSeparator" w:id="0">
    <w:p w:rsidR="00E36A9B" w:rsidRDefault="00E3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9B" w:rsidRDefault="00E36A9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E36A9B" w:rsidRDefault="00E36A9B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9B" w:rsidRDefault="00E36A9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E36A9B" w:rsidRDefault="00E36A9B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9B" w:rsidRDefault="00E36A9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E36A9B" w:rsidRDefault="00E36A9B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9B" w:rsidRDefault="00E36A9B">
      <w:pPr>
        <w:spacing w:after="0" w:line="240" w:lineRule="auto"/>
      </w:pPr>
      <w:r>
        <w:separator/>
      </w:r>
    </w:p>
  </w:footnote>
  <w:footnote w:type="continuationSeparator" w:id="0">
    <w:p w:rsidR="00E36A9B" w:rsidRDefault="00E3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9B" w:rsidRDefault="00E36A9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5288915</wp:posOffset>
          </wp:positionH>
          <wp:positionV relativeFrom="page">
            <wp:posOffset>449580</wp:posOffset>
          </wp:positionV>
          <wp:extent cx="1370584" cy="420370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9B" w:rsidRDefault="00E36A9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70584" cy="420370"/>
          <wp:effectExtent l="0" t="0" r="1270" b="0"/>
          <wp:wrapSquare wrapText="bothSides"/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E36A9B" w:rsidRDefault="00E36A9B">
    <w:pPr>
      <w:spacing w:after="0" w:line="259" w:lineRule="auto"/>
      <w:ind w:left="0" w:right="-4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A9B" w:rsidRDefault="00E36A9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5288915</wp:posOffset>
          </wp:positionH>
          <wp:positionV relativeFrom="page">
            <wp:posOffset>449580</wp:posOffset>
          </wp:positionV>
          <wp:extent cx="1370584" cy="420370"/>
          <wp:effectExtent l="0" t="0" r="0" b="0"/>
          <wp:wrapSquare wrapText="bothSides"/>
          <wp:docPr id="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086DF5"/>
    <w:multiLevelType w:val="hybridMultilevel"/>
    <w:tmpl w:val="87C856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F7934"/>
    <w:multiLevelType w:val="hybridMultilevel"/>
    <w:tmpl w:val="638349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448448"/>
    <w:multiLevelType w:val="hybridMultilevel"/>
    <w:tmpl w:val="AD0FDF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C37C61"/>
    <w:multiLevelType w:val="hybridMultilevel"/>
    <w:tmpl w:val="85464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5292"/>
    <w:multiLevelType w:val="hybridMultilevel"/>
    <w:tmpl w:val="E9F04F4C"/>
    <w:lvl w:ilvl="0" w:tplc="99E0BA8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1FB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C9F6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665F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22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25A1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E685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E54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8B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8583B"/>
    <w:multiLevelType w:val="hybridMultilevel"/>
    <w:tmpl w:val="20D05734"/>
    <w:lvl w:ilvl="0" w:tplc="FE20D63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65A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F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8B8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690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C9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620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27F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0C6305"/>
    <w:multiLevelType w:val="hybridMultilevel"/>
    <w:tmpl w:val="187E145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BC5E7B"/>
    <w:multiLevelType w:val="hybridMultilevel"/>
    <w:tmpl w:val="FF3E859C"/>
    <w:lvl w:ilvl="0" w:tplc="23C0C4D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06C5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CB1A8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478F0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E040C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82F50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68742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CD980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E627A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03118"/>
    <w:multiLevelType w:val="hybridMultilevel"/>
    <w:tmpl w:val="20D05734"/>
    <w:lvl w:ilvl="0" w:tplc="FE20D63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65A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F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8B8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690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C9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620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27F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E1436"/>
    <w:multiLevelType w:val="hybridMultilevel"/>
    <w:tmpl w:val="B45E2BDA"/>
    <w:lvl w:ilvl="0" w:tplc="E03CF46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5C42751"/>
    <w:multiLevelType w:val="hybridMultilevel"/>
    <w:tmpl w:val="EC1CA4A4"/>
    <w:lvl w:ilvl="0" w:tplc="B588A9A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C2F12">
      <w:start w:val="1"/>
      <w:numFmt w:val="decimal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03A3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A1F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0017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66A6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8754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877E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839D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FD0EFF"/>
    <w:multiLevelType w:val="hybridMultilevel"/>
    <w:tmpl w:val="C18495A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7359B"/>
    <w:multiLevelType w:val="hybridMultilevel"/>
    <w:tmpl w:val="8800D14C"/>
    <w:lvl w:ilvl="0" w:tplc="F48C608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88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882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2A7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C1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86B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4B8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008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6F9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F17AAF"/>
    <w:multiLevelType w:val="hybridMultilevel"/>
    <w:tmpl w:val="9E06B8A8"/>
    <w:lvl w:ilvl="0" w:tplc="8D8CBCE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EEA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13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40F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E1D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8E8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0B5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8A8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4F3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B1280"/>
    <w:multiLevelType w:val="hybridMultilevel"/>
    <w:tmpl w:val="FABC8A6C"/>
    <w:lvl w:ilvl="0" w:tplc="D5CC827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C52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A91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05F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8DA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AC2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650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4AD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C62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D04E41"/>
    <w:multiLevelType w:val="hybridMultilevel"/>
    <w:tmpl w:val="B61E15DE"/>
    <w:lvl w:ilvl="0" w:tplc="3C1C7E6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F810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CA3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464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4C2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2DC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471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8A4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07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3310C7"/>
    <w:multiLevelType w:val="hybridMultilevel"/>
    <w:tmpl w:val="C49AC904"/>
    <w:lvl w:ilvl="0" w:tplc="371C7FA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8CF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A75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69F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A0C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0E7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080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69D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093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401542"/>
    <w:multiLevelType w:val="hybridMultilevel"/>
    <w:tmpl w:val="684EDD38"/>
    <w:lvl w:ilvl="0" w:tplc="552E2F2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E83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462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6AB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AFE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5F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24C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0CA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826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D323C6"/>
    <w:multiLevelType w:val="hybridMultilevel"/>
    <w:tmpl w:val="3CEEE7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214179"/>
    <w:multiLevelType w:val="hybridMultilevel"/>
    <w:tmpl w:val="1B3AC88A"/>
    <w:lvl w:ilvl="0" w:tplc="0EB0DB1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77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874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AC0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81B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CE6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602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850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495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6273C8"/>
    <w:multiLevelType w:val="hybridMultilevel"/>
    <w:tmpl w:val="3F82B98C"/>
    <w:lvl w:ilvl="0" w:tplc="E8FA69D2">
      <w:start w:val="1"/>
      <w:numFmt w:val="decimal"/>
      <w:lvlText w:val="%1."/>
      <w:lvlJc w:val="left"/>
      <w:pPr>
        <w:ind w:left="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498E8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6720C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C2FCC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6605E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0C4E6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0CC3C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CD622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4CDC6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6A3152"/>
    <w:multiLevelType w:val="hybridMultilevel"/>
    <w:tmpl w:val="CC6A80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B2611B"/>
    <w:multiLevelType w:val="hybridMultilevel"/>
    <w:tmpl w:val="297CE2F4"/>
    <w:lvl w:ilvl="0" w:tplc="6630BF7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A0B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89A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829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258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ABB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C36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CA3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21E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2579DC"/>
    <w:multiLevelType w:val="hybridMultilevel"/>
    <w:tmpl w:val="90160890"/>
    <w:lvl w:ilvl="0" w:tplc="F496B352">
      <w:start w:val="7"/>
      <w:numFmt w:val="lowerLetter"/>
      <w:lvlText w:val="%1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26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21F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A41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494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685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8E4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822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47C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152C3"/>
    <w:multiLevelType w:val="hybridMultilevel"/>
    <w:tmpl w:val="AC64EDEA"/>
    <w:lvl w:ilvl="0" w:tplc="A814AB2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2CDD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0765C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4968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4DB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0E50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49F8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70A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C615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F1443"/>
    <w:multiLevelType w:val="hybridMultilevel"/>
    <w:tmpl w:val="EBDE6BBC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1B43220"/>
    <w:multiLevelType w:val="hybridMultilevel"/>
    <w:tmpl w:val="75A6D274"/>
    <w:lvl w:ilvl="0" w:tplc="625CCC0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8A7B4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C1D80">
      <w:start w:val="1"/>
      <w:numFmt w:val="bullet"/>
      <w:lvlText w:val="▪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8478E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C3BCA">
      <w:start w:val="1"/>
      <w:numFmt w:val="bullet"/>
      <w:lvlText w:val="o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C0FEA">
      <w:start w:val="1"/>
      <w:numFmt w:val="bullet"/>
      <w:lvlText w:val="▪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0401A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5906">
      <w:start w:val="1"/>
      <w:numFmt w:val="bullet"/>
      <w:lvlText w:val="o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EF466">
      <w:start w:val="1"/>
      <w:numFmt w:val="bullet"/>
      <w:lvlText w:val="▪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3C681A"/>
    <w:multiLevelType w:val="hybridMultilevel"/>
    <w:tmpl w:val="E474F0D8"/>
    <w:lvl w:ilvl="0" w:tplc="7D049F3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B12ED"/>
    <w:multiLevelType w:val="hybridMultilevel"/>
    <w:tmpl w:val="86CA5C96"/>
    <w:lvl w:ilvl="0" w:tplc="72F4654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07ED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C810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5D0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680C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6FE2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E36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AED3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E2F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02906"/>
    <w:multiLevelType w:val="hybridMultilevel"/>
    <w:tmpl w:val="24AC4A36"/>
    <w:lvl w:ilvl="0" w:tplc="4AD424F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C1D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A4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6DE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95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2D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E1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00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A27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97BD7"/>
    <w:multiLevelType w:val="hybridMultilevel"/>
    <w:tmpl w:val="5454A5C4"/>
    <w:lvl w:ilvl="0" w:tplc="C3F4DF2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AA9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20EF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EEBC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ECC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69B6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CD5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4414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2BB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2A4CDB"/>
    <w:multiLevelType w:val="hybridMultilevel"/>
    <w:tmpl w:val="7408F038"/>
    <w:lvl w:ilvl="0" w:tplc="59B035E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54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B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040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45E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413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8A8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07F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4CB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4213D"/>
    <w:multiLevelType w:val="hybridMultilevel"/>
    <w:tmpl w:val="CCDA591C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0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06DC4"/>
    <w:multiLevelType w:val="hybridMultilevel"/>
    <w:tmpl w:val="9C6A4A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6"/>
  </w:num>
  <w:num w:numId="4">
    <w:abstractNumId w:val="35"/>
  </w:num>
  <w:num w:numId="5">
    <w:abstractNumId w:val="14"/>
  </w:num>
  <w:num w:numId="6">
    <w:abstractNumId w:val="20"/>
  </w:num>
  <w:num w:numId="7">
    <w:abstractNumId w:val="13"/>
  </w:num>
  <w:num w:numId="8">
    <w:abstractNumId w:val="5"/>
  </w:num>
  <w:num w:numId="9">
    <w:abstractNumId w:val="24"/>
  </w:num>
  <w:num w:numId="10">
    <w:abstractNumId w:val="8"/>
  </w:num>
  <w:num w:numId="11">
    <w:abstractNumId w:val="15"/>
  </w:num>
  <w:num w:numId="12">
    <w:abstractNumId w:val="9"/>
  </w:num>
  <w:num w:numId="13">
    <w:abstractNumId w:val="33"/>
  </w:num>
  <w:num w:numId="14">
    <w:abstractNumId w:val="31"/>
  </w:num>
  <w:num w:numId="15">
    <w:abstractNumId w:val="11"/>
  </w:num>
  <w:num w:numId="16">
    <w:abstractNumId w:val="16"/>
  </w:num>
  <w:num w:numId="17">
    <w:abstractNumId w:val="29"/>
  </w:num>
  <w:num w:numId="18">
    <w:abstractNumId w:val="23"/>
  </w:num>
  <w:num w:numId="19">
    <w:abstractNumId w:val="18"/>
  </w:num>
  <w:num w:numId="20">
    <w:abstractNumId w:val="17"/>
  </w:num>
  <w:num w:numId="21">
    <w:abstractNumId w:val="10"/>
  </w:num>
  <w:num w:numId="22">
    <w:abstractNumId w:val="1"/>
  </w:num>
  <w:num w:numId="23">
    <w:abstractNumId w:val="12"/>
  </w:num>
  <w:num w:numId="24">
    <w:abstractNumId w:val="3"/>
  </w:num>
  <w:num w:numId="25">
    <w:abstractNumId w:val="0"/>
  </w:num>
  <w:num w:numId="26">
    <w:abstractNumId w:val="41"/>
  </w:num>
  <w:num w:numId="27">
    <w:abstractNumId w:val="39"/>
  </w:num>
  <w:num w:numId="28">
    <w:abstractNumId w:val="40"/>
  </w:num>
  <w:num w:numId="29">
    <w:abstractNumId w:val="42"/>
  </w:num>
  <w:num w:numId="30">
    <w:abstractNumId w:val="37"/>
  </w:num>
  <w:num w:numId="3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19"/>
  </w:num>
  <w:num w:numId="33">
    <w:abstractNumId w:val="22"/>
  </w:num>
  <w:num w:numId="34">
    <w:abstractNumId w:val="27"/>
  </w:num>
  <w:num w:numId="35">
    <w:abstractNumId w:val="30"/>
  </w:num>
  <w:num w:numId="36">
    <w:abstractNumId w:val="34"/>
  </w:num>
  <w:num w:numId="37">
    <w:abstractNumId w:val="28"/>
  </w:num>
  <w:num w:numId="38">
    <w:abstractNumId w:val="7"/>
  </w:num>
  <w:num w:numId="39">
    <w:abstractNumId w:val="38"/>
  </w:num>
  <w:num w:numId="40">
    <w:abstractNumId w:val="32"/>
  </w:num>
  <w:num w:numId="41">
    <w:abstractNumId w:val="6"/>
  </w:num>
  <w:num w:numId="42">
    <w:abstractNumId w:val="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3D"/>
    <w:rsid w:val="000038F8"/>
    <w:rsid w:val="00006944"/>
    <w:rsid w:val="000103B7"/>
    <w:rsid w:val="00021945"/>
    <w:rsid w:val="00032DC7"/>
    <w:rsid w:val="00036D6E"/>
    <w:rsid w:val="000433CF"/>
    <w:rsid w:val="00050EB1"/>
    <w:rsid w:val="00066AD0"/>
    <w:rsid w:val="00074783"/>
    <w:rsid w:val="000B60E1"/>
    <w:rsid w:val="000D1D25"/>
    <w:rsid w:val="000E384F"/>
    <w:rsid w:val="00111A55"/>
    <w:rsid w:val="0011601E"/>
    <w:rsid w:val="00131CCF"/>
    <w:rsid w:val="001370AC"/>
    <w:rsid w:val="00152F17"/>
    <w:rsid w:val="00165083"/>
    <w:rsid w:val="00186E26"/>
    <w:rsid w:val="001877FB"/>
    <w:rsid w:val="001C3804"/>
    <w:rsid w:val="001C6E30"/>
    <w:rsid w:val="001D3106"/>
    <w:rsid w:val="00203B3D"/>
    <w:rsid w:val="00220701"/>
    <w:rsid w:val="00232FDF"/>
    <w:rsid w:val="00233BD6"/>
    <w:rsid w:val="0024293B"/>
    <w:rsid w:val="00252091"/>
    <w:rsid w:val="00260568"/>
    <w:rsid w:val="0026296D"/>
    <w:rsid w:val="0026363C"/>
    <w:rsid w:val="00264634"/>
    <w:rsid w:val="00270F3E"/>
    <w:rsid w:val="002779E3"/>
    <w:rsid w:val="00295D27"/>
    <w:rsid w:val="002A70A1"/>
    <w:rsid w:val="002B3633"/>
    <w:rsid w:val="002B3A62"/>
    <w:rsid w:val="002C0F10"/>
    <w:rsid w:val="002E6715"/>
    <w:rsid w:val="002E6976"/>
    <w:rsid w:val="002F2BE2"/>
    <w:rsid w:val="002F5B76"/>
    <w:rsid w:val="0030206F"/>
    <w:rsid w:val="0030778C"/>
    <w:rsid w:val="00327DBF"/>
    <w:rsid w:val="003437AC"/>
    <w:rsid w:val="0035165B"/>
    <w:rsid w:val="00351E95"/>
    <w:rsid w:val="00367240"/>
    <w:rsid w:val="00382B3C"/>
    <w:rsid w:val="003836FD"/>
    <w:rsid w:val="0038782A"/>
    <w:rsid w:val="003919F0"/>
    <w:rsid w:val="003A0088"/>
    <w:rsid w:val="003A4ADC"/>
    <w:rsid w:val="003A7DF5"/>
    <w:rsid w:val="003C2E39"/>
    <w:rsid w:val="003C69F7"/>
    <w:rsid w:val="003D597C"/>
    <w:rsid w:val="003D5C5F"/>
    <w:rsid w:val="003F166D"/>
    <w:rsid w:val="003F2993"/>
    <w:rsid w:val="004000DD"/>
    <w:rsid w:val="00414693"/>
    <w:rsid w:val="00426E1B"/>
    <w:rsid w:val="00452094"/>
    <w:rsid w:val="00477B1D"/>
    <w:rsid w:val="004928DE"/>
    <w:rsid w:val="00494FB1"/>
    <w:rsid w:val="00496993"/>
    <w:rsid w:val="004A6015"/>
    <w:rsid w:val="004C7813"/>
    <w:rsid w:val="004D7A93"/>
    <w:rsid w:val="004E14B7"/>
    <w:rsid w:val="004E2DF4"/>
    <w:rsid w:val="0050675F"/>
    <w:rsid w:val="00527766"/>
    <w:rsid w:val="00535F5B"/>
    <w:rsid w:val="00551219"/>
    <w:rsid w:val="005542CE"/>
    <w:rsid w:val="00562B29"/>
    <w:rsid w:val="005767AF"/>
    <w:rsid w:val="00584573"/>
    <w:rsid w:val="005B59A0"/>
    <w:rsid w:val="005C4201"/>
    <w:rsid w:val="005D3D51"/>
    <w:rsid w:val="005D4B4C"/>
    <w:rsid w:val="005F0F74"/>
    <w:rsid w:val="00604F28"/>
    <w:rsid w:val="00606C4F"/>
    <w:rsid w:val="00635715"/>
    <w:rsid w:val="006526C3"/>
    <w:rsid w:val="00653930"/>
    <w:rsid w:val="006620B1"/>
    <w:rsid w:val="006631F5"/>
    <w:rsid w:val="00664724"/>
    <w:rsid w:val="006650C5"/>
    <w:rsid w:val="00667E52"/>
    <w:rsid w:val="00674D70"/>
    <w:rsid w:val="006755E7"/>
    <w:rsid w:val="006938BE"/>
    <w:rsid w:val="00694158"/>
    <w:rsid w:val="006969B9"/>
    <w:rsid w:val="006A3D77"/>
    <w:rsid w:val="006A44D4"/>
    <w:rsid w:val="006C29AD"/>
    <w:rsid w:val="006C52E6"/>
    <w:rsid w:val="006F0656"/>
    <w:rsid w:val="00716273"/>
    <w:rsid w:val="007165B4"/>
    <w:rsid w:val="00745FB1"/>
    <w:rsid w:val="00782BCF"/>
    <w:rsid w:val="007941E0"/>
    <w:rsid w:val="007A5EAD"/>
    <w:rsid w:val="007B2BD7"/>
    <w:rsid w:val="007C2A93"/>
    <w:rsid w:val="007C73E7"/>
    <w:rsid w:val="007D106A"/>
    <w:rsid w:val="007D6CDC"/>
    <w:rsid w:val="007D75BE"/>
    <w:rsid w:val="007E2EB5"/>
    <w:rsid w:val="007E4763"/>
    <w:rsid w:val="008065FF"/>
    <w:rsid w:val="00821B5E"/>
    <w:rsid w:val="008417CC"/>
    <w:rsid w:val="00851BD8"/>
    <w:rsid w:val="00852694"/>
    <w:rsid w:val="00854553"/>
    <w:rsid w:val="008570DD"/>
    <w:rsid w:val="008711BC"/>
    <w:rsid w:val="008874CE"/>
    <w:rsid w:val="00893AF1"/>
    <w:rsid w:val="00897B32"/>
    <w:rsid w:val="008A22B2"/>
    <w:rsid w:val="008A47F3"/>
    <w:rsid w:val="008C2A03"/>
    <w:rsid w:val="008C51F5"/>
    <w:rsid w:val="008D4C73"/>
    <w:rsid w:val="008D7225"/>
    <w:rsid w:val="008F34CD"/>
    <w:rsid w:val="008F7242"/>
    <w:rsid w:val="008F776E"/>
    <w:rsid w:val="0091111E"/>
    <w:rsid w:val="00932A9D"/>
    <w:rsid w:val="009343DF"/>
    <w:rsid w:val="00944209"/>
    <w:rsid w:val="00951C86"/>
    <w:rsid w:val="009574B2"/>
    <w:rsid w:val="00964004"/>
    <w:rsid w:val="00970985"/>
    <w:rsid w:val="00982037"/>
    <w:rsid w:val="00985884"/>
    <w:rsid w:val="00993C8D"/>
    <w:rsid w:val="00996DDC"/>
    <w:rsid w:val="009C394B"/>
    <w:rsid w:val="009D2C40"/>
    <w:rsid w:val="009E4FB5"/>
    <w:rsid w:val="009F1AD5"/>
    <w:rsid w:val="009F3D10"/>
    <w:rsid w:val="00A00252"/>
    <w:rsid w:val="00A23F23"/>
    <w:rsid w:val="00A30785"/>
    <w:rsid w:val="00A46B13"/>
    <w:rsid w:val="00A75D54"/>
    <w:rsid w:val="00A764B9"/>
    <w:rsid w:val="00AA3428"/>
    <w:rsid w:val="00AB0E16"/>
    <w:rsid w:val="00AB59EA"/>
    <w:rsid w:val="00AC2B09"/>
    <w:rsid w:val="00AC3D17"/>
    <w:rsid w:val="00AC4536"/>
    <w:rsid w:val="00AC50C2"/>
    <w:rsid w:val="00B232AE"/>
    <w:rsid w:val="00B24AAF"/>
    <w:rsid w:val="00B41C2E"/>
    <w:rsid w:val="00B42579"/>
    <w:rsid w:val="00B43D42"/>
    <w:rsid w:val="00B45815"/>
    <w:rsid w:val="00B45838"/>
    <w:rsid w:val="00B5214C"/>
    <w:rsid w:val="00B87189"/>
    <w:rsid w:val="00B92EDB"/>
    <w:rsid w:val="00B939B5"/>
    <w:rsid w:val="00BB04F3"/>
    <w:rsid w:val="00BC6EDF"/>
    <w:rsid w:val="00BD1CEB"/>
    <w:rsid w:val="00BD5B89"/>
    <w:rsid w:val="00BF1AAB"/>
    <w:rsid w:val="00C01729"/>
    <w:rsid w:val="00C13F9C"/>
    <w:rsid w:val="00C71E4D"/>
    <w:rsid w:val="00CA0C06"/>
    <w:rsid w:val="00CB380C"/>
    <w:rsid w:val="00CB633C"/>
    <w:rsid w:val="00CB7E3F"/>
    <w:rsid w:val="00CD1466"/>
    <w:rsid w:val="00CE443A"/>
    <w:rsid w:val="00CF5EDC"/>
    <w:rsid w:val="00D02D45"/>
    <w:rsid w:val="00D16C81"/>
    <w:rsid w:val="00D2733C"/>
    <w:rsid w:val="00D30C44"/>
    <w:rsid w:val="00D66DC7"/>
    <w:rsid w:val="00D83F61"/>
    <w:rsid w:val="00D9374C"/>
    <w:rsid w:val="00DA162A"/>
    <w:rsid w:val="00DB3296"/>
    <w:rsid w:val="00DC5E1A"/>
    <w:rsid w:val="00DD667A"/>
    <w:rsid w:val="00DF2588"/>
    <w:rsid w:val="00DF6133"/>
    <w:rsid w:val="00E14014"/>
    <w:rsid w:val="00E333B1"/>
    <w:rsid w:val="00E36A9B"/>
    <w:rsid w:val="00E66396"/>
    <w:rsid w:val="00E66D36"/>
    <w:rsid w:val="00EB3D83"/>
    <w:rsid w:val="00EB52D2"/>
    <w:rsid w:val="00EC394C"/>
    <w:rsid w:val="00EC58AF"/>
    <w:rsid w:val="00F0423C"/>
    <w:rsid w:val="00F37274"/>
    <w:rsid w:val="00F41133"/>
    <w:rsid w:val="00F54FBC"/>
    <w:rsid w:val="00F54FC7"/>
    <w:rsid w:val="00F5534D"/>
    <w:rsid w:val="00F55392"/>
    <w:rsid w:val="00F579CE"/>
    <w:rsid w:val="00F70D27"/>
    <w:rsid w:val="00F84CB4"/>
    <w:rsid w:val="00F95844"/>
    <w:rsid w:val="00FA69FA"/>
    <w:rsid w:val="00FA7C3E"/>
    <w:rsid w:val="00FB6251"/>
    <w:rsid w:val="00FC0349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C0F02129-6638-46ED-BF07-E6510A3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4" w:line="249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2F5496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alibri" w:eastAsia="Calibri" w:hAnsi="Calibri" w:cs="Calibri"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" w:line="250" w:lineRule="auto"/>
      <w:ind w:left="10" w:right="3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5" w:line="250" w:lineRule="auto"/>
      <w:ind w:left="10" w:right="3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color w:val="2F5496"/>
      <w:sz w:val="32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b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D667A"/>
    <w:pPr>
      <w:ind w:left="720"/>
      <w:contextualSpacing/>
    </w:pPr>
  </w:style>
  <w:style w:type="paragraph" w:customStyle="1" w:styleId="Default">
    <w:name w:val="Default"/>
    <w:rsid w:val="00DD6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002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2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80C"/>
    <w:rPr>
      <w:rFonts w:ascii="Segoe UI" w:eastAsia="Calibri" w:hAnsi="Segoe UI" w:cs="Segoe UI"/>
      <w:color w:val="000000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9343DF"/>
    <w:pPr>
      <w:spacing w:before="24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343DF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9343D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343D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hyperlink" Target="file:///\\SRNPV14\rdf$\gabriela.havlickova\Documents\Dota&#269;n&#237;%20port&#225;l\Odevzd&#225;n&#237;%20ke%20zve&#345;ejn&#283;n&#237;\1562%20-%20Podpora%20kulturn&#237;ch%20aktivit%20OZP%20a%20senior&#367;\red.fs.gov.cz" TargetMode="External"/><Relationship Id="rId18" Type="http://schemas.openxmlformats.org/officeDocument/2006/relationships/hyperlink" Target="mailto:jana.gombarova@mk.gov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dentitaobcana.cz/Home" TargetMode="External"/><Relationship Id="rId17" Type="http://schemas.openxmlformats.org/officeDocument/2006/relationships/hyperlink" Target="file:///C:\Users\jana.gombarova\AppData\Local\Microsoft\Windows\INetCache\Content.Outlook\VEYNIF15\red.fs.gov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k.gov.cz/logo-a-znelka-cs-112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ntitaobcana.cz/Hom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mk.gov.cz/logo-a-znelka-cs-1128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pmkportal.mkcr.cz/defaul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pmkportal.mkcr.cz/default" TargetMode="External"/><Relationship Id="rId14" Type="http://schemas.openxmlformats.org/officeDocument/2006/relationships/hyperlink" Target="https://www.mk.gov.cz/logo-a-znelka-cs-1128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86CA-DC4B-4F0D-86BD-9FE97D1B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5126</Words>
  <Characters>30249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cp:lastModifiedBy>Havlíčková Gabriela</cp:lastModifiedBy>
  <cp:revision>125</cp:revision>
  <cp:lastPrinted>2025-07-14T05:32:00Z</cp:lastPrinted>
  <dcterms:created xsi:type="dcterms:W3CDTF">2025-07-11T08:43:00Z</dcterms:created>
  <dcterms:modified xsi:type="dcterms:W3CDTF">2025-08-05T06:07:00Z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181637895</vt:i4>
  </property>
</Properties>
</file>