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1C7B4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GVT3H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D97BE5">
              <w:rPr>
                <w:rFonts w:ascii="AlfaPID" w:hAnsi="AlfaPID"/>
                <w:sz w:val="64"/>
              </w:rPr>
              <w:t>MKCRX00GVT3H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:rsidR="00E22553" w:rsidRPr="00E22553" w:rsidRDefault="00E22553" w:rsidP="00EF6846">
      <w:pPr>
        <w:spacing w:after="0" w:line="240" w:lineRule="auto"/>
        <w:jc w:val="right"/>
        <w:rPr>
          <w:rFonts w:ascii="Times New Roman" w:eastAsia="Times New Roman" w:hAnsi="Times New Roman"/>
          <w:color w:val="808080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1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1"/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26. května 2021"/>
            </w:textInput>
          </w:ffData>
        </w:fldChar>
      </w:r>
      <w:bookmarkStart w:id="2" w:name="ssl_dat_tiskut"/>
      <w:r w:rsidR="00081B3D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D97BE5">
        <w:rPr>
          <w:rFonts w:ascii="Times New Roman" w:eastAsia="Times New Roman" w:hAnsi="Times New Roman"/>
          <w:sz w:val="24"/>
          <w:szCs w:val="24"/>
          <w:lang w:eastAsia="cs-CZ"/>
        </w:rPr>
        <w:t>26. května 2021</w:t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2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36418/2021 SOM"/>
            </w:textInput>
          </w:ffData>
        </w:fldChar>
      </w:r>
      <w:bookmarkStart w:id="3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D97BE5">
        <w:rPr>
          <w:rFonts w:ascii="Times New Roman" w:eastAsia="Times New Roman" w:hAnsi="Times New Roman"/>
          <w:sz w:val="24"/>
          <w:szCs w:val="24"/>
          <w:lang w:eastAsia="cs-CZ"/>
        </w:rPr>
        <w:t>MK 36418/2021 SOM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F04CA5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C72D4" w:rsidRPr="00CA022B" w:rsidRDefault="004C72D4" w:rsidP="00F04CA5">
      <w:pPr>
        <w:pStyle w:val="Nzev"/>
        <w:spacing w:line="276" w:lineRule="auto"/>
        <w:rPr>
          <w:sz w:val="24"/>
          <w:szCs w:val="24"/>
        </w:rPr>
      </w:pPr>
      <w:proofErr w:type="gramStart"/>
      <w:r w:rsidRPr="00CA022B">
        <w:rPr>
          <w:sz w:val="24"/>
          <w:szCs w:val="24"/>
        </w:rPr>
        <w:t>M i n i s t e r s t v o   k u l t u r y</w:t>
      </w:r>
      <w:proofErr w:type="gramEnd"/>
    </w:p>
    <w:p w:rsidR="004C72D4" w:rsidRPr="004C72D4" w:rsidRDefault="004C72D4" w:rsidP="00F04CA5">
      <w:pPr>
        <w:pStyle w:val="Normln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 (dále jen „ministerstvo“)</w:t>
      </w:r>
    </w:p>
    <w:p w:rsidR="004C72D4" w:rsidRPr="00CA022B" w:rsidRDefault="004C72D4" w:rsidP="00F04CA5">
      <w:pPr>
        <w:pStyle w:val="Nzev"/>
        <w:spacing w:line="276" w:lineRule="auto"/>
        <w:jc w:val="both"/>
        <w:rPr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22B">
        <w:rPr>
          <w:rFonts w:ascii="Times New Roman" w:hAnsi="Times New Roman" w:cs="Times New Roman"/>
          <w:color w:val="000000"/>
          <w:sz w:val="24"/>
          <w:szCs w:val="24"/>
        </w:rPr>
        <w:t xml:space="preserve">podle § 14j zákona č. 218/2000 Sb., o rozpočtových pravidlech a o změně některých souvisejících zákonů (rozpočtová pravidla), Usnesení vlády České republiky </w:t>
      </w:r>
      <w:r w:rsidRPr="00CA022B">
        <w:rPr>
          <w:rFonts w:ascii="Times New Roman" w:hAnsi="Times New Roman" w:cs="Times New Roman"/>
          <w:sz w:val="24"/>
          <w:szCs w:val="24"/>
        </w:rPr>
        <w:t>č. 591 ze dne 1. června 2020</w:t>
      </w:r>
      <w:r w:rsidRPr="00CA022B">
        <w:rPr>
          <w:rFonts w:ascii="Times New Roman" w:hAnsi="Times New Roman" w:cs="Times New Roman"/>
          <w:color w:val="000000"/>
          <w:sz w:val="24"/>
          <w:szCs w:val="24"/>
        </w:rPr>
        <w:t xml:space="preserve">, o Zásadách vlády pro poskytování dotací ze státního rozpočtu České republiky nestátním neziskovým organizacím ústředními orgány státní správy a </w:t>
      </w:r>
      <w:r w:rsidRPr="00CA022B">
        <w:rPr>
          <w:rFonts w:ascii="Times New Roman" w:hAnsi="Times New Roman" w:cs="Times New Roman"/>
          <w:sz w:val="24"/>
          <w:szCs w:val="24"/>
        </w:rPr>
        <w:t xml:space="preserve">rozhodnutí Evropské komise ze dne 10. května 2021 C(2021)3447, SA.62471 (2021/N) o schválení zastřešujícího schématu </w:t>
      </w:r>
      <w:r>
        <w:rPr>
          <w:rFonts w:ascii="Times New Roman" w:hAnsi="Times New Roman" w:cs="Times New Roman"/>
          <w:sz w:val="24"/>
          <w:szCs w:val="24"/>
        </w:rPr>
        <w:t>v rámci</w:t>
      </w:r>
      <w:r w:rsidRPr="00CA022B">
        <w:rPr>
          <w:rFonts w:ascii="Times New Roman" w:hAnsi="Times New Roman" w:cs="Times New Roman"/>
          <w:sz w:val="24"/>
          <w:szCs w:val="24"/>
        </w:rPr>
        <w:t xml:space="preserve"> Dočasného rámce Evropské komise </w:t>
      </w:r>
      <w:r w:rsidRPr="00CA022B">
        <w:rPr>
          <w:rFonts w:ascii="Times New Roman" w:hAnsi="Times New Roman" w:cs="Times New Roman"/>
          <w:color w:val="000000"/>
          <w:sz w:val="24"/>
          <w:szCs w:val="24"/>
        </w:rPr>
        <w:t>v platném znění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hAnsi="Times New Roman" w:cs="Times New Roman"/>
          <w:b/>
          <w:color w:val="000000"/>
          <w:sz w:val="24"/>
          <w:szCs w:val="24"/>
        </w:rPr>
        <w:t>vyhlašuje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hAnsi="Times New Roman" w:cs="Times New Roman"/>
          <w:b/>
          <w:color w:val="000000"/>
          <w:sz w:val="24"/>
          <w:szCs w:val="24"/>
        </w:rPr>
        <w:t>mimořádnou výzvu k podávání žádostí o dotaci ze státního rozpočtu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color w:val="000000"/>
          <w:sz w:val="24"/>
          <w:szCs w:val="24"/>
        </w:rPr>
        <w:t>v rámci výběrového dotačního řízení „</w:t>
      </w:r>
      <w:r w:rsidRPr="00CA022B">
        <w:rPr>
          <w:rFonts w:ascii="Times New Roman" w:hAnsi="Times New Roman" w:cs="Times New Roman"/>
          <w:b/>
          <w:color w:val="000000"/>
          <w:sz w:val="24"/>
          <w:szCs w:val="24"/>
        </w:rPr>
        <w:t>Program udržitelnosti pro muzea II.“</w:t>
      </w:r>
      <w:r w:rsidRPr="00CA022B">
        <w:rPr>
          <w:rFonts w:ascii="Times New Roman" w:hAnsi="Times New Roman" w:cs="Times New Roman"/>
          <w:color w:val="000000"/>
          <w:sz w:val="24"/>
          <w:szCs w:val="24"/>
        </w:rPr>
        <w:t xml:space="preserve">, vyhlášeného </w:t>
      </w:r>
      <w:r>
        <w:rPr>
          <w:rFonts w:ascii="Times New Roman" w:hAnsi="Times New Roman" w:cs="Times New Roman"/>
          <w:color w:val="000000"/>
          <w:sz w:val="24"/>
          <w:szCs w:val="24"/>
        </w:rPr>
        <w:t>v roce</w:t>
      </w:r>
      <w:r w:rsidRPr="00CA022B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Věcné zaměření a definice výzvy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2D4" w:rsidRPr="000D75D6" w:rsidRDefault="004C72D4" w:rsidP="00F04CA5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D75D6">
        <w:rPr>
          <w:rFonts w:ascii="Times New Roman" w:eastAsia="Arial" w:hAnsi="Times New Roman" w:cs="Times New Roman"/>
          <w:sz w:val="24"/>
          <w:szCs w:val="24"/>
        </w:rPr>
        <w:t>Zaměřením dotačního programu „Program udržitelnosti pro muzea II.“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75D6">
        <w:rPr>
          <w:rFonts w:ascii="Times New Roman" w:eastAsia="Arial" w:hAnsi="Times New Roman" w:cs="Times New Roman"/>
          <w:sz w:val="24"/>
          <w:szCs w:val="24"/>
        </w:rPr>
        <w:t>(dále jen „program“) je zmírnění negativních dopadů spojených s opatřeními v boji proti pandemii nemoci COVID</w:t>
      </w:r>
      <w:r w:rsidRPr="000D75D6">
        <w:rPr>
          <w:rFonts w:ascii="Times New Roman" w:eastAsia="Arial" w:hAnsi="Times New Roman" w:cs="Times New Roman"/>
          <w:sz w:val="24"/>
          <w:szCs w:val="24"/>
        </w:rPr>
        <w:noBreakHyphen/>
        <w:t>19 na některé subjekty, které vykonávají činnost v oblasti kultury na území České republiky,</w:t>
      </w:r>
      <w:r w:rsidRPr="000D75D6">
        <w:rPr>
          <w:rFonts w:ascii="Times New Roman" w:hAnsi="Times New Roman" w:cs="Times New Roman"/>
          <w:sz w:val="24"/>
          <w:szCs w:val="24"/>
        </w:rPr>
        <w:t xml:space="preserve"> a </w:t>
      </w:r>
      <w:r w:rsidRPr="000D75D6">
        <w:rPr>
          <w:rFonts w:ascii="Times New Roman" w:eastAsia="Arial" w:hAnsi="Times New Roman" w:cs="Times New Roman"/>
          <w:sz w:val="24"/>
          <w:szCs w:val="24"/>
        </w:rPr>
        <w:t xml:space="preserve">kterým bylo na základě přijatých krizových opatření 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Pr="000D75D6">
        <w:rPr>
          <w:rFonts w:ascii="Times New Roman" w:eastAsia="Arial" w:hAnsi="Times New Roman" w:cs="Times New Roman"/>
          <w:sz w:val="24"/>
          <w:szCs w:val="24"/>
        </w:rPr>
        <w:t>lády ČR přímo omezeno provozování jejich hospodářské činnosti.</w:t>
      </w:r>
    </w:p>
    <w:p w:rsidR="004C72D4" w:rsidRPr="000D75D6" w:rsidRDefault="004C72D4" w:rsidP="00F04CA5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D75D6">
        <w:rPr>
          <w:rFonts w:ascii="Times New Roman" w:eastAsia="Arial" w:hAnsi="Times New Roman" w:cs="Times New Roman"/>
          <w:b/>
          <w:sz w:val="24"/>
          <w:szCs w:val="24"/>
        </w:rPr>
        <w:t xml:space="preserve">Cílem je poskytnout podporu subjektům zajišťujícím kontinuální činnost podle zákona č. 122/2000 Sb., které pečují o sbírku zapsanou v Centrální evidenci sbírek, a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subjektům </w:t>
      </w:r>
      <w:r w:rsidRPr="000D75D6">
        <w:rPr>
          <w:rFonts w:ascii="Times New Roman" w:eastAsia="Arial" w:hAnsi="Times New Roman" w:cs="Times New Roman"/>
          <w:b/>
          <w:sz w:val="24"/>
          <w:szCs w:val="24"/>
        </w:rPr>
        <w:t>pečujícím o sbírky a mobiliární fondy za účelem prezentace kulturního dědictví v rámci poskytování veřejné kulturní služby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podle zákona č. </w:t>
      </w:r>
      <w:r w:rsidRPr="000D75D6">
        <w:rPr>
          <w:rFonts w:ascii="Times New Roman" w:eastAsia="Arial" w:hAnsi="Times New Roman" w:cs="Times New Roman"/>
          <w:b/>
          <w:sz w:val="24"/>
          <w:szCs w:val="24"/>
        </w:rPr>
        <w:t xml:space="preserve">203/2006 Sb. </w:t>
      </w:r>
      <w:r w:rsidRPr="000D75D6">
        <w:rPr>
          <w:rFonts w:ascii="Times New Roman" w:hAnsi="Times New Roman" w:cs="Times New Roman"/>
          <w:b/>
          <w:sz w:val="24"/>
          <w:szCs w:val="24"/>
        </w:rPr>
        <w:t>(tj. muzea a galerie).</w:t>
      </w:r>
      <w:r w:rsidRPr="000D75D6">
        <w:rPr>
          <w:rFonts w:ascii="Times New Roman" w:hAnsi="Times New Roman" w:cs="Times New Roman"/>
          <w:sz w:val="24"/>
          <w:szCs w:val="24"/>
        </w:rPr>
        <w:t xml:space="preserve"> Rozhodným obdobím pro udělení dotace jsou měsíce, kdy byl provoz těchto subjektů v roce 2020 znemožněn či výrazně limitován v přímé souvislosti s mimořádnými opatřeními vlády</w:t>
      </w:r>
      <w:r>
        <w:rPr>
          <w:rFonts w:ascii="Times New Roman" w:hAnsi="Times New Roman" w:cs="Times New Roman"/>
          <w:sz w:val="24"/>
          <w:szCs w:val="24"/>
        </w:rPr>
        <w:t xml:space="preserve"> na území České republiky</w:t>
      </w:r>
      <w:r w:rsidRPr="000D75D6">
        <w:rPr>
          <w:rFonts w:ascii="Times New Roman" w:hAnsi="Times New Roman" w:cs="Times New Roman"/>
          <w:sz w:val="24"/>
          <w:szCs w:val="24"/>
        </w:rPr>
        <w:t>.</w:t>
      </w:r>
    </w:p>
    <w:p w:rsidR="004C72D4" w:rsidRPr="000D75D6" w:rsidRDefault="004C72D4" w:rsidP="00F04CA5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5D6">
        <w:rPr>
          <w:rFonts w:ascii="Times New Roman" w:eastAsia="Arial" w:hAnsi="Times New Roman" w:cs="Times New Roman"/>
          <w:sz w:val="24"/>
          <w:szCs w:val="24"/>
        </w:rPr>
        <w:lastRenderedPageBreak/>
        <w:t>Dotace je poskytována v souladu se zákonem č. 218/2000 Sb., o rozpočtových pravidlech a o změně některých souvisejících zákonů, ve znění pozdějších předpisů.</w:t>
      </w:r>
    </w:p>
    <w:p w:rsidR="004C72D4" w:rsidRPr="000D75D6" w:rsidRDefault="004C72D4" w:rsidP="00F04CA5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 xml:space="preserve">Obsahem podpory je příspěvek na </w:t>
      </w:r>
      <w:r w:rsidRPr="000D75D6">
        <w:rPr>
          <w:rFonts w:ascii="Times New Roman" w:hAnsi="Times New Roman" w:cs="Times New Roman"/>
          <w:b/>
          <w:sz w:val="24"/>
          <w:szCs w:val="24"/>
        </w:rPr>
        <w:t xml:space="preserve">provozní náklady žadatele. Dotace nesmí přesáhnout 80 % </w:t>
      </w:r>
      <w:r>
        <w:rPr>
          <w:rFonts w:ascii="Times New Roman" w:hAnsi="Times New Roman" w:cs="Times New Roman"/>
          <w:b/>
          <w:sz w:val="24"/>
          <w:szCs w:val="24"/>
        </w:rPr>
        <w:t xml:space="preserve">provozních </w:t>
      </w:r>
      <w:r w:rsidRPr="000D75D6">
        <w:rPr>
          <w:rFonts w:ascii="Times New Roman" w:hAnsi="Times New Roman" w:cs="Times New Roman"/>
          <w:b/>
          <w:sz w:val="24"/>
          <w:szCs w:val="24"/>
        </w:rPr>
        <w:t xml:space="preserve">nákladů žadatele za rok 2020. </w:t>
      </w:r>
      <w:r>
        <w:rPr>
          <w:rFonts w:ascii="Times New Roman" w:hAnsi="Times New Roman" w:cs="Times New Roman"/>
          <w:b/>
          <w:sz w:val="24"/>
          <w:szCs w:val="24"/>
        </w:rPr>
        <w:t>Toto je součást čestných prohlášení, které žadatel musí doložit.</w:t>
      </w:r>
    </w:p>
    <w:p w:rsidR="004C72D4" w:rsidRPr="000D75D6" w:rsidRDefault="004C72D4" w:rsidP="00F04CA5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 podklad k identifikaci</w:t>
      </w:r>
      <w:r w:rsidRPr="000D75D6">
        <w:rPr>
          <w:rFonts w:ascii="Times New Roman" w:hAnsi="Times New Roman" w:cs="Times New Roman"/>
          <w:b/>
          <w:sz w:val="24"/>
          <w:szCs w:val="24"/>
        </w:rPr>
        <w:t xml:space="preserve"> propadu obratu</w:t>
      </w:r>
      <w:r>
        <w:rPr>
          <w:rFonts w:ascii="Times New Roman" w:hAnsi="Times New Roman" w:cs="Times New Roman"/>
          <w:b/>
          <w:sz w:val="24"/>
          <w:szCs w:val="24"/>
        </w:rPr>
        <w:t>, podle kterého bude komise žádosti posuzovat,</w:t>
      </w:r>
      <w:r w:rsidRPr="000D7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bude </w:t>
      </w:r>
      <w:r w:rsidRPr="000D75D6">
        <w:rPr>
          <w:rFonts w:ascii="Times New Roman" w:hAnsi="Times New Roman" w:cs="Times New Roman"/>
          <w:b/>
          <w:sz w:val="24"/>
          <w:szCs w:val="24"/>
        </w:rPr>
        <w:t>rozdíl prodaných vstupenek v roce 2019 a 2020.</w:t>
      </w:r>
      <w:r>
        <w:rPr>
          <w:rFonts w:ascii="Times New Roman" w:hAnsi="Times New Roman" w:cs="Times New Roman"/>
          <w:b/>
          <w:sz w:val="24"/>
          <w:szCs w:val="24"/>
        </w:rPr>
        <w:t xml:space="preserve"> V žádosti tak bude třeba uvést celkové počty prodaných vstupenek v letech 2019 a 2020 a výnosy za vstupné v letech 2019 a 2020 (v účetnictví účet 602).</w:t>
      </w:r>
      <w:r w:rsidRPr="000D7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2D4" w:rsidRPr="00B52892" w:rsidRDefault="004C72D4" w:rsidP="00F04CA5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Jako rozhodné období</w:t>
      </w:r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bude bráno období </w:t>
      </w:r>
      <w:r w:rsidRPr="000D75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od 12. března do 31. prosince 2020</w:t>
      </w:r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 xml:space="preserve">, přičemž ztráty z prodeje vstupenek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roce 2020 </w:t>
      </w:r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>prokazatelně vznikly v důsledku vládních opatření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vůli</w:t>
      </w:r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 xml:space="preserve"> minimalizaci dopadů pandemie </w:t>
      </w:r>
      <w:proofErr w:type="spellStart"/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>Covid</w:t>
      </w:r>
      <w:proofErr w:type="spellEnd"/>
      <w:r w:rsidRPr="000D75D6">
        <w:rPr>
          <w:rFonts w:ascii="Times New Roman" w:eastAsia="Times New Roman" w:hAnsi="Times New Roman" w:cs="Times New Roman"/>
          <w:b/>
          <w:sz w:val="24"/>
          <w:szCs w:val="24"/>
        </w:rPr>
        <w:t xml:space="preserve"> - 19.</w:t>
      </w:r>
    </w:p>
    <w:p w:rsidR="004C72D4" w:rsidRDefault="004C72D4" w:rsidP="00F04CA5">
      <w:pPr>
        <w:pStyle w:val="Normln1"/>
        <w:spacing w:after="0"/>
        <w:rPr>
          <w:rFonts w:ascii="Times New Roman" w:hAnsi="Times New Roman" w:cs="Times New Roman"/>
          <w:sz w:val="24"/>
          <w:szCs w:val="24"/>
        </w:rPr>
      </w:pPr>
    </w:p>
    <w:p w:rsidR="00F04CA5" w:rsidRPr="00CA022B" w:rsidRDefault="00F04CA5" w:rsidP="00F04CA5">
      <w:pPr>
        <w:pStyle w:val="Normln1"/>
        <w:spacing w:after="0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Okruh oprávněných žadatelů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Žadatelem o poskytnutí finančních prostředků z dotačního programu (dále jen „žadatel“) mohou</w:t>
      </w:r>
      <w:r w:rsidRPr="00CA022B">
        <w:rPr>
          <w:rFonts w:ascii="Times New Roman" w:hAnsi="Times New Roman" w:cs="Times New Roman"/>
          <w:sz w:val="24"/>
          <w:szCs w:val="24"/>
        </w:rPr>
        <w:t xml:space="preserve"> být: </w:t>
      </w:r>
    </w:p>
    <w:p w:rsidR="004C72D4" w:rsidRPr="00CA022B" w:rsidRDefault="004C72D4" w:rsidP="00F04CA5">
      <w:pPr>
        <w:pStyle w:val="Odstavecseseznamem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subjekty zajišťující činnost podle zákona č. 122/2000 Sb., tzn. ty, které pečují o sbírku zapsanou v Centrální evidenci sbírek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A0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4D3">
        <w:rPr>
          <w:rFonts w:ascii="Times New Roman" w:hAnsi="Times New Roman" w:cs="Times New Roman"/>
          <w:sz w:val="24"/>
          <w:szCs w:val="24"/>
        </w:rPr>
        <w:t>nebo</w:t>
      </w:r>
    </w:p>
    <w:p w:rsidR="004C72D4" w:rsidRPr="00CA022B" w:rsidRDefault="004C72D4" w:rsidP="00F04CA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subjekty zajišťující celoroční, či sezónní provoz za účelem prezentace sbírek a mobiliárních fondů v rámci poskytování veřejných kulturních služeb.</w:t>
      </w:r>
    </w:p>
    <w:p w:rsidR="004C72D4" w:rsidRPr="00CA022B" w:rsidRDefault="004C72D4" w:rsidP="00F04CA5">
      <w:pPr>
        <w:pStyle w:val="Odstavecseseznamem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Odstavecseseznamem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Jedná se o subjekty přímo organizující či provozující danou kontinuální činnost při správě muzeí a galerií</w:t>
      </w:r>
      <w:r>
        <w:rPr>
          <w:rFonts w:ascii="Times New Roman" w:hAnsi="Times New Roman" w:cs="Times New Roman"/>
          <w:sz w:val="24"/>
          <w:szCs w:val="24"/>
        </w:rPr>
        <w:t>, které provozují svou činnost za vstupné, a mají činnost převážně v oblasti kultury</w:t>
      </w:r>
      <w:r w:rsidRPr="00CA022B">
        <w:rPr>
          <w:rFonts w:ascii="Times New Roman" w:hAnsi="Times New Roman" w:cs="Times New Roman"/>
          <w:sz w:val="24"/>
          <w:szCs w:val="24"/>
        </w:rPr>
        <w:t>.</w:t>
      </w:r>
    </w:p>
    <w:p w:rsidR="004C72D4" w:rsidRDefault="004C72D4" w:rsidP="00F04CA5">
      <w:pPr>
        <w:pStyle w:val="Odstavecseseznamem"/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4C72D4" w:rsidRPr="00CA022B" w:rsidRDefault="004C72D4" w:rsidP="00F04CA5">
      <w:pPr>
        <w:pStyle w:val="Odstavecseseznamem"/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A022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Veřejnými kulturními službami jsou služby spočívající ve zpřístupňování umělecké tvorby a kulturního dědictví veřejnosti a v získávání, zpracování, ochraně, uchování a zpřístupňování informací, které slouží k uspokojování kulturních, kulturně výchovných nebo kulturně vzdělávacích potřeb veřejnosti.</w:t>
      </w:r>
      <w:r>
        <w:rPr>
          <w:rStyle w:val="Znakapoznpodarou"/>
          <w:rFonts w:ascii="Times New Roman" w:hAnsi="Times New Roman" w:cs="Times New Roman"/>
          <w:iCs/>
          <w:sz w:val="24"/>
          <w:szCs w:val="24"/>
          <w:shd w:val="clear" w:color="auto" w:fill="FFFFFF"/>
        </w:rPr>
        <w:footnoteReference w:id="1"/>
      </w:r>
    </w:p>
    <w:p w:rsidR="004C72D4" w:rsidRPr="00CA022B" w:rsidRDefault="004C72D4" w:rsidP="00F04CA5">
      <w:pPr>
        <w:pStyle w:val="Odstavecseseznamem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1B2A5E" w:rsidRDefault="004C72D4" w:rsidP="00F04CA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A5E">
        <w:rPr>
          <w:rFonts w:ascii="Times New Roman" w:hAnsi="Times New Roman" w:cs="Times New Roman"/>
          <w:b/>
          <w:sz w:val="24"/>
          <w:szCs w:val="24"/>
        </w:rPr>
        <w:t xml:space="preserve">Žadatel prokáže minimální roční návštěvnost ve výši 500 návštěvníků v roce 2019, nebo (v případech celkového či částečného uzavření provozu v roce 2019 na více než tři měsíce či jiného relevantního důvodu) v některém z předchozích tří roků provozování dané činnosti. </w:t>
      </w:r>
      <w:r>
        <w:rPr>
          <w:rFonts w:ascii="Times New Roman" w:hAnsi="Times New Roman" w:cs="Times New Roman"/>
          <w:b/>
          <w:sz w:val="24"/>
          <w:szCs w:val="24"/>
        </w:rPr>
        <w:t>Žadatel uvede důvod v žádosti.</w:t>
      </w:r>
      <w:r w:rsidRPr="001B2A5E">
        <w:rPr>
          <w:rFonts w:ascii="Times New Roman" w:hAnsi="Times New Roman" w:cs="Times New Roman"/>
          <w:b/>
          <w:sz w:val="24"/>
          <w:szCs w:val="24"/>
        </w:rPr>
        <w:t xml:space="preserve"> Při změně vlastnictví je akceptována návštěvnost za předchozího vlastníka, u nově </w:t>
      </w:r>
      <w:r w:rsidRPr="001B2A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vzniklých aktivit bude akceptován medián návštěvností všech obdržených žádostí v rámci tohoto </w:t>
      </w:r>
      <w:r>
        <w:rPr>
          <w:rFonts w:ascii="Times New Roman" w:hAnsi="Times New Roman" w:cs="Times New Roman"/>
          <w:b/>
          <w:sz w:val="24"/>
          <w:szCs w:val="24"/>
        </w:rPr>
        <w:t>programu v příslušné kategorii (a nebo b).</w:t>
      </w:r>
    </w:p>
    <w:p w:rsidR="004C72D4" w:rsidRPr="00CA022B" w:rsidRDefault="004C72D4" w:rsidP="00F04CA5">
      <w:pPr>
        <w:pStyle w:val="Odstavecseseznamem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Oprávněným žadatelem jsou výše specifikované subjekty, kterým byla znemožněna nebo omezena činnost v oblasti poskytování kulturní služby veřejnosti v důsledku vládních opatření proti šíření onemocnění SARS-CoV-2 po dobu vyhlášení nouzového stavu na území ČR a přetrvávajících omezeních v rámci mimořádných opatření Vlády ČR či Ministerstva zdravotnictví</w:t>
      </w:r>
      <w:r>
        <w:rPr>
          <w:rFonts w:ascii="Times New Roman" w:hAnsi="Times New Roman" w:cs="Times New Roman"/>
          <w:sz w:val="24"/>
          <w:szCs w:val="24"/>
        </w:rPr>
        <w:t xml:space="preserve"> v roce 2020</w:t>
      </w:r>
      <w:r w:rsidRPr="00CA022B">
        <w:rPr>
          <w:rFonts w:ascii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Odstavecseseznamem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Finanční prostředky se nebudou poskytovat </w:t>
      </w:r>
      <w:r>
        <w:rPr>
          <w:rFonts w:ascii="Times New Roman" w:hAnsi="Times New Roman" w:cs="Times New Roman"/>
          <w:sz w:val="24"/>
          <w:szCs w:val="24"/>
        </w:rPr>
        <w:t>žadatelům</w:t>
      </w:r>
      <w:r w:rsidRPr="00CA022B">
        <w:rPr>
          <w:rFonts w:ascii="Times New Roman" w:hAnsi="Times New Roman" w:cs="Times New Roman"/>
          <w:sz w:val="24"/>
          <w:szCs w:val="24"/>
        </w:rPr>
        <w:t>, kte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CA022B">
        <w:rPr>
          <w:rFonts w:ascii="Times New Roman" w:hAnsi="Times New Roman" w:cs="Times New Roman"/>
          <w:sz w:val="24"/>
          <w:szCs w:val="24"/>
        </w:rPr>
        <w:t xml:space="preserve"> již byl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022B">
        <w:rPr>
          <w:rFonts w:ascii="Times New Roman" w:hAnsi="Times New Roman" w:cs="Times New Roman"/>
          <w:sz w:val="24"/>
          <w:szCs w:val="24"/>
        </w:rPr>
        <w:t xml:space="preserve"> podpořen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A022B">
        <w:rPr>
          <w:rFonts w:ascii="Times New Roman" w:hAnsi="Times New Roman" w:cs="Times New Roman"/>
          <w:sz w:val="24"/>
          <w:szCs w:val="24"/>
        </w:rPr>
        <w:t xml:space="preserve"> z programu </w:t>
      </w:r>
      <w:proofErr w:type="spellStart"/>
      <w:r w:rsidRPr="00CA022B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CA022B">
        <w:rPr>
          <w:rFonts w:ascii="Times New Roman" w:hAnsi="Times New Roman" w:cs="Times New Roman"/>
          <w:sz w:val="24"/>
          <w:szCs w:val="24"/>
        </w:rPr>
        <w:t xml:space="preserve"> – kultura </w:t>
      </w:r>
      <w:r>
        <w:rPr>
          <w:rFonts w:ascii="Times New Roman" w:hAnsi="Times New Roman" w:cs="Times New Roman"/>
          <w:sz w:val="24"/>
          <w:szCs w:val="24"/>
        </w:rPr>
        <w:t>pro</w:t>
      </w:r>
      <w:r w:rsidRPr="00CA0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kulturní </w:t>
      </w:r>
      <w:r w:rsidRPr="00CA022B">
        <w:rPr>
          <w:rFonts w:ascii="Times New Roman" w:hAnsi="Times New Roman" w:cs="Times New Roman"/>
          <w:sz w:val="24"/>
          <w:szCs w:val="24"/>
        </w:rPr>
        <w:t xml:space="preserve">památky v rámci </w:t>
      </w:r>
      <w:r>
        <w:rPr>
          <w:rFonts w:ascii="Times New Roman" w:hAnsi="Times New Roman" w:cs="Times New Roman"/>
          <w:sz w:val="24"/>
          <w:szCs w:val="24"/>
        </w:rPr>
        <w:t>podpory na stejné</w:t>
      </w:r>
      <w:r w:rsidRPr="00CA022B">
        <w:rPr>
          <w:rFonts w:ascii="Times New Roman" w:hAnsi="Times New Roman" w:cs="Times New Roman"/>
          <w:sz w:val="24"/>
          <w:szCs w:val="24"/>
        </w:rPr>
        <w:t xml:space="preserve"> rozhodné období. </w:t>
      </w:r>
    </w:p>
    <w:p w:rsidR="004C72D4" w:rsidRPr="00CA022B" w:rsidRDefault="004C72D4" w:rsidP="00F04CA5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Žadatelem nesmí být subjekt, který je podnikem v obtížích ve smyslu čl. 2 odst. 18 nařízení Komise (EU) č. 651/2014, kterým se v souladu s čl. 107 a 108 Smlouvy o EU prohlašují určité kategorie podpory za slučitelné s vnitřním trhem, nebo podnik, vůči němuž byl v návaznosti na rozhodnutí Komise, jímž je podpora prohlášena za protiprávní a neslučitelnou s vnitřním trhem, vystaven inkasní příkaz, který dosud nebyl splacen.</w:t>
      </w:r>
    </w:p>
    <w:p w:rsidR="004C72D4" w:rsidRPr="00CA022B" w:rsidRDefault="004C72D4" w:rsidP="00F04CA5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Řízení o žádosti žadatele, který neodpovídá okruhu oprávněných žadatelů o dotaci uvedenému v této výzvě, bude v souladu s § 14j odst. 4 písm. b) </w:t>
      </w:r>
      <w:r>
        <w:rPr>
          <w:rFonts w:ascii="Times New Roman" w:eastAsia="Times New Roman" w:hAnsi="Times New Roman" w:cs="Times New Roman"/>
          <w:sz w:val="24"/>
          <w:szCs w:val="24"/>
        </w:rPr>
        <w:t>zákona č. 218/2000 Sb., o rozpočtových pravidlech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zastaveno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0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2D4" w:rsidRPr="00CA022B" w:rsidRDefault="004C72D4" w:rsidP="00F04CA5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Způsobilým žadatelem je takový žadatel, který splňuje všechny následující podmínky:</w:t>
      </w:r>
    </w:p>
    <w:p w:rsidR="004C72D4" w:rsidRPr="00CA022B" w:rsidRDefault="004C72D4" w:rsidP="00F04C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 xml:space="preserve">je </w:t>
      </w:r>
      <w:r w:rsidRPr="00CA022B">
        <w:rPr>
          <w:rFonts w:ascii="Times New Roman" w:eastAsia="Arial" w:hAnsi="Times New Roman"/>
          <w:b/>
          <w:bCs/>
          <w:sz w:val="24"/>
          <w:szCs w:val="24"/>
        </w:rPr>
        <w:t>fyzickou osobou</w:t>
      </w:r>
      <w:r w:rsidRPr="00CA022B">
        <w:rPr>
          <w:rFonts w:ascii="Times New Roman" w:eastAsia="Arial" w:hAnsi="Times New Roman"/>
          <w:sz w:val="24"/>
          <w:szCs w:val="24"/>
        </w:rPr>
        <w:t xml:space="preserve"> (podnikatelem), která je ke dni podání žádosti daňovým</w:t>
      </w:r>
    </w:p>
    <w:p w:rsidR="004C72D4" w:rsidRPr="00CA022B" w:rsidRDefault="004C72D4" w:rsidP="00F04CA5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11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rezidentem České republiky, nebo</w:t>
      </w:r>
    </w:p>
    <w:p w:rsidR="004C72D4" w:rsidRPr="00CA022B" w:rsidRDefault="004C72D4" w:rsidP="00F04CA5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11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 xml:space="preserve">jiného členského státu Evropské unie nebo Evropského hospodářského prostoru a vykonává svou činnost na území České republiky, </w:t>
      </w:r>
      <w:r w:rsidRPr="00CA02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nebo </w:t>
      </w:r>
    </w:p>
    <w:p w:rsidR="004C72D4" w:rsidRPr="009D76B1" w:rsidRDefault="004C72D4" w:rsidP="00F04CA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60" w:firstLine="360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proofErr w:type="gramStart"/>
      <w:r w:rsidRPr="009D76B1">
        <w:rPr>
          <w:rFonts w:ascii="Times New Roman" w:eastAsia="Arial" w:hAnsi="Times New Roman"/>
          <w:bCs/>
          <w:sz w:val="24"/>
          <w:szCs w:val="24"/>
        </w:rPr>
        <w:t>b)</w:t>
      </w:r>
      <w:r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9D76B1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9D76B1">
        <w:rPr>
          <w:rFonts w:ascii="Times New Roman" w:eastAsia="Arial" w:hAnsi="Times New Roman"/>
          <w:bCs/>
          <w:sz w:val="24"/>
          <w:szCs w:val="24"/>
        </w:rPr>
        <w:t>je</w:t>
      </w:r>
      <w:proofErr w:type="gramEnd"/>
      <w:r w:rsidRPr="009D76B1">
        <w:rPr>
          <w:rFonts w:ascii="Times New Roman" w:eastAsia="Arial" w:hAnsi="Times New Roman"/>
          <w:b/>
          <w:bCs/>
          <w:sz w:val="24"/>
          <w:szCs w:val="24"/>
        </w:rPr>
        <w:t xml:space="preserve"> právnickou osobou</w:t>
      </w:r>
      <w:r w:rsidRPr="009D76B1">
        <w:rPr>
          <w:rFonts w:ascii="Times New Roman" w:eastAsia="Arial" w:hAnsi="Times New Roman"/>
          <w:sz w:val="24"/>
          <w:szCs w:val="24"/>
        </w:rPr>
        <w:t>, která je ke dni podání žádosti daňovým rezidentem</w:t>
      </w:r>
    </w:p>
    <w:p w:rsidR="004C72D4" w:rsidRPr="00CA022B" w:rsidRDefault="004C72D4" w:rsidP="00F04CA5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11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České republiky, nebo</w:t>
      </w:r>
    </w:p>
    <w:p w:rsidR="004C72D4" w:rsidRPr="00CA022B" w:rsidRDefault="004C72D4" w:rsidP="00F04CA5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311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jiného členského státu Evropské unie nebo Evropského hospodářského prostoru a vykonává svou činnost na území České republiky.</w:t>
      </w:r>
    </w:p>
    <w:p w:rsidR="004C72D4" w:rsidRPr="00CA022B" w:rsidRDefault="004C72D4" w:rsidP="00F04CA5">
      <w:pPr>
        <w:shd w:val="clear" w:color="auto" w:fill="FFFFFF"/>
        <w:spacing w:after="0"/>
        <w:ind w:left="720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 xml:space="preserve">Žádat mohou subjekty, které podnikají, i ty, které mají svou hlavní činnost na principu neziskovosti včetně těch, kteří mají zřizovatele či vlastnický podíl </w:t>
      </w:r>
      <w:r>
        <w:rPr>
          <w:rFonts w:ascii="Times New Roman" w:hAnsi="Times New Roman"/>
          <w:sz w:val="24"/>
          <w:szCs w:val="24"/>
        </w:rPr>
        <w:t>obce</w:t>
      </w:r>
      <w:r w:rsidRPr="00CA022B">
        <w:rPr>
          <w:rFonts w:ascii="Times New Roman" w:hAnsi="Times New Roman"/>
          <w:sz w:val="24"/>
          <w:szCs w:val="24"/>
        </w:rPr>
        <w:t xml:space="preserve"> či kraje </w:t>
      </w:r>
      <w:r>
        <w:rPr>
          <w:rFonts w:ascii="Times New Roman" w:hAnsi="Times New Roman"/>
          <w:sz w:val="24"/>
          <w:szCs w:val="24"/>
        </w:rPr>
        <w:t xml:space="preserve">a fungují </w:t>
      </w:r>
      <w:r w:rsidRPr="00CA022B">
        <w:rPr>
          <w:rFonts w:ascii="Times New Roman" w:hAnsi="Times New Roman"/>
          <w:bCs/>
          <w:iCs/>
          <w:sz w:val="24"/>
          <w:szCs w:val="24"/>
        </w:rPr>
        <w:t xml:space="preserve">dle vyhlášky č. 504/2002 </w:t>
      </w:r>
      <w:r>
        <w:rPr>
          <w:rFonts w:ascii="Times New Roman" w:hAnsi="Times New Roman"/>
          <w:bCs/>
          <w:iCs/>
          <w:sz w:val="24"/>
          <w:szCs w:val="24"/>
        </w:rPr>
        <w:t xml:space="preserve">Sb. </w:t>
      </w:r>
      <w:r w:rsidRPr="00CA022B">
        <w:rPr>
          <w:rFonts w:ascii="Times New Roman" w:hAnsi="Times New Roman"/>
          <w:bCs/>
          <w:iCs/>
          <w:sz w:val="24"/>
          <w:szCs w:val="24"/>
        </w:rPr>
        <w:t xml:space="preserve">nebo č. </w:t>
      </w:r>
      <w:r>
        <w:rPr>
          <w:rFonts w:ascii="Times New Roman" w:hAnsi="Times New Roman"/>
          <w:bCs/>
          <w:iCs/>
          <w:sz w:val="24"/>
          <w:szCs w:val="24"/>
        </w:rPr>
        <w:t>410/2009</w:t>
      </w:r>
      <w:r w:rsidRPr="00CA022B">
        <w:rPr>
          <w:rFonts w:ascii="Times New Roman" w:hAnsi="Times New Roman"/>
          <w:bCs/>
          <w:iCs/>
          <w:sz w:val="24"/>
          <w:szCs w:val="24"/>
        </w:rPr>
        <w:t xml:space="preserve"> Sb</w:t>
      </w:r>
      <w:r w:rsidRPr="00CA022B">
        <w:rPr>
          <w:rFonts w:ascii="Times New Roman" w:hAnsi="Times New Roman"/>
          <w:sz w:val="24"/>
          <w:szCs w:val="24"/>
        </w:rPr>
        <w:t xml:space="preserve">. Žádat nesmějí organizace zřízené státem.  </w:t>
      </w:r>
    </w:p>
    <w:p w:rsidR="004C72D4" w:rsidRPr="00CA022B" w:rsidRDefault="004C72D4" w:rsidP="00F04CA5">
      <w:pPr>
        <w:shd w:val="clear" w:color="auto" w:fill="FFFFFF"/>
        <w:spacing w:after="0"/>
        <w:ind w:left="720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>Žadatel musí dále splňovat tyto podmínky:</w:t>
      </w:r>
    </w:p>
    <w:p w:rsidR="004C72D4" w:rsidRPr="00CA022B" w:rsidRDefault="004C72D4" w:rsidP="00F04CA5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nepřerušil provozování činnosti / živnosti, nebo mu nebylo provozování činnosti / živnosti pozastaveno, nebo nepřerušil provozování hospodářské činnosti na základě jiného právního předpisu než živnostenského zákona;</w:t>
      </w:r>
    </w:p>
    <w:p w:rsidR="004C72D4" w:rsidRPr="00CA022B" w:rsidRDefault="004C72D4" w:rsidP="00F04CA5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v důsledku přijatých krizových opatření v souvislosti s pandemií onemocnění COVID-19 mu byla jeho činnost omezena či zakázána;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je daňovým subjektem dle zákona č. 280/2009 Sb., daňový řád;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dle ustanovení § 136 zákona č. 182/2006 Sb., o úpadku a způsobech jeho řešení (insolvenční zákon) nebylo rozhodnuto o jeho úpadku;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lastRenderedPageBreak/>
        <w:t>soud nebo správní orgán nevydal usnesení o nařízení výkonu rozhodnutí na jeho majetek nebo nenařídil exekuci jeho majetku;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není v likvidaci;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žadatel nesplňuje podmínky insolvenčního zákona pro zahájení kolektivního úpadkového řízení s výjimkou těch žadatelů, kteří splňují podmínky pro zahájení kolektivního úpadkového řízení v důsledku šíření onemocnění COVID-19 způsobeného virem SARS-CoV-2;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nebyl ke dni 31. 12. 2019 podnikem v obtížích ve smyslu nařízení Komise č. 651/2014</w:t>
      </w:r>
      <w:r w:rsidRPr="00CA022B">
        <w:rPr>
          <w:rStyle w:val="Znakapoznpodarou"/>
          <w:rFonts w:ascii="Times New Roman" w:eastAsia="Arial" w:hAnsi="Times New Roman"/>
          <w:sz w:val="24"/>
          <w:szCs w:val="24"/>
        </w:rPr>
        <w:footnoteReference w:id="2"/>
      </w:r>
      <w:r w:rsidRPr="00CA022B">
        <w:rPr>
          <w:rFonts w:ascii="Times New Roman" w:eastAsia="Arial" w:hAnsi="Times New Roman"/>
          <w:sz w:val="24"/>
          <w:szCs w:val="24"/>
        </w:rPr>
        <w:t xml:space="preserve">; tato podmínka se nepoužije, pokud je </w:t>
      </w:r>
      <w:proofErr w:type="spellStart"/>
      <w:r w:rsidRPr="00CA022B">
        <w:rPr>
          <w:rFonts w:ascii="Times New Roman" w:eastAsia="Arial" w:hAnsi="Times New Roman"/>
          <w:sz w:val="24"/>
          <w:szCs w:val="24"/>
        </w:rPr>
        <w:t>mikropodnikem</w:t>
      </w:r>
      <w:proofErr w:type="spellEnd"/>
      <w:r w:rsidRPr="00CA022B">
        <w:rPr>
          <w:rFonts w:ascii="Times New Roman" w:eastAsia="Arial" w:hAnsi="Times New Roman"/>
          <w:sz w:val="24"/>
          <w:szCs w:val="24"/>
        </w:rPr>
        <w:t xml:space="preserve"> nebo malým podnikem (ve smyslu přílohy I nařízení Komise č. 651/2014), vůči kterému nebylo zahájeno kolektivní úpadkové řízení a neobdržel podporu na záchranu nebo podporu na restrukturalizaci</w:t>
      </w:r>
      <w:r>
        <w:rPr>
          <w:rFonts w:ascii="Times New Roman" w:eastAsia="Arial" w:hAnsi="Times New Roman"/>
          <w:sz w:val="24"/>
          <w:szCs w:val="24"/>
        </w:rPr>
        <w:t>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nemá ke dni podání žádosti žádné nedoplatky po lhůtě splatnosti ve vztahu ke státnímu rozpočtu, státním fondům, rozpočtu územního samosprávného celku nebo ke zdravotní pojišťovně</w:t>
      </w:r>
      <w:r w:rsidRPr="00CA022B">
        <w:rPr>
          <w:rStyle w:val="Znakapoznpodarou"/>
          <w:rFonts w:ascii="Times New Roman" w:eastAsia="Arial" w:hAnsi="Times New Roman"/>
          <w:sz w:val="24"/>
          <w:szCs w:val="24"/>
        </w:rPr>
        <w:footnoteReference w:id="3"/>
      </w:r>
      <w:r>
        <w:rPr>
          <w:rFonts w:ascii="Times New Roman" w:eastAsia="Arial" w:hAnsi="Times New Roman"/>
          <w:sz w:val="24"/>
          <w:szCs w:val="24"/>
        </w:rPr>
        <w:t>;</w:t>
      </w:r>
    </w:p>
    <w:p w:rsidR="004C72D4" w:rsidRPr="00CA022B" w:rsidRDefault="004C72D4" w:rsidP="00F04C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nebyl nespolehlivým plátcem nebo nespolehlivou osobou podle zákona upravujícího daň z přidané hodnoty.</w:t>
      </w:r>
    </w:p>
    <w:p w:rsidR="004C72D4" w:rsidRPr="00CA022B" w:rsidRDefault="004C72D4" w:rsidP="00F04CA5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 xml:space="preserve">Podpora se </w:t>
      </w:r>
      <w:r w:rsidRPr="00C42780">
        <w:rPr>
          <w:rFonts w:ascii="Times New Roman" w:hAnsi="Times New Roman"/>
          <w:sz w:val="24"/>
          <w:szCs w:val="24"/>
          <w:u w:val="single"/>
        </w:rPr>
        <w:t>nevztahuje</w:t>
      </w:r>
      <w:r w:rsidRPr="00C42780">
        <w:rPr>
          <w:rFonts w:ascii="Times New Roman" w:hAnsi="Times New Roman"/>
          <w:sz w:val="24"/>
          <w:szCs w:val="24"/>
        </w:rPr>
        <w:t xml:space="preserve"> na subjekty pořádající pouze jednorázové akce, přehlídky či putovní výstavy založené na prezentaci zboží, společenské </w:t>
      </w:r>
      <w:proofErr w:type="spellStart"/>
      <w:r w:rsidRPr="00C42780">
        <w:rPr>
          <w:rFonts w:ascii="Times New Roman" w:hAnsi="Times New Roman"/>
          <w:sz w:val="24"/>
          <w:szCs w:val="24"/>
        </w:rPr>
        <w:t>eventy</w:t>
      </w:r>
      <w:proofErr w:type="spellEnd"/>
      <w:r w:rsidRPr="00C42780">
        <w:rPr>
          <w:rFonts w:ascii="Times New Roman" w:hAnsi="Times New Roman"/>
          <w:sz w:val="24"/>
          <w:szCs w:val="24"/>
        </w:rPr>
        <w:t>, gastronomické akce, vzdělávací akce, veletrhy, prodejní, předváděcí, kontraktační výstavy či kongresy, svatby, propagační akce, firemní akce, sportovní akce a audiovizuální projekty a s tím spojenou činnost včetně zprostředkovatelů a dodavatelů některých subdodávek na dané kulturní akce a činnosti.</w:t>
      </w:r>
      <w:r w:rsidRPr="00CA022B">
        <w:rPr>
          <w:rFonts w:ascii="Times New Roman" w:hAnsi="Times New Roman"/>
          <w:sz w:val="24"/>
          <w:szCs w:val="24"/>
        </w:rPr>
        <w:t xml:space="preserve"> </w:t>
      </w:r>
    </w:p>
    <w:p w:rsidR="00F04CA5" w:rsidRDefault="00F04CA5" w:rsidP="00F04C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04CA5" w:rsidRDefault="00F04CA5" w:rsidP="00F04C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72D4" w:rsidRPr="00CA022B" w:rsidRDefault="004C72D4" w:rsidP="00F04C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/>
          <w:b/>
          <w:color w:val="000000"/>
          <w:sz w:val="24"/>
          <w:szCs w:val="24"/>
        </w:rPr>
        <w:t>III.</w:t>
      </w:r>
    </w:p>
    <w:p w:rsidR="004C72D4" w:rsidRPr="00D93E9A" w:rsidRDefault="004C72D4" w:rsidP="00F04CA5">
      <w:pPr>
        <w:pStyle w:val="Normln1"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3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výzvy</w:t>
      </w:r>
    </w:p>
    <w:p w:rsidR="004C72D4" w:rsidRPr="00D93E9A" w:rsidRDefault="004C72D4" w:rsidP="00F04CA5">
      <w:pPr>
        <w:pStyle w:val="Normln1"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2D4" w:rsidRPr="00D93E9A" w:rsidRDefault="004C72D4" w:rsidP="00F04CA5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93E9A">
        <w:rPr>
          <w:rFonts w:ascii="Times New Roman" w:eastAsia="Times New Roman" w:hAnsi="Times New Roman"/>
          <w:sz w:val="24"/>
          <w:szCs w:val="24"/>
        </w:rPr>
        <w:t>Datum vyhlášení výzvy:</w:t>
      </w:r>
      <w:r w:rsidRPr="00D93E9A">
        <w:rPr>
          <w:rFonts w:ascii="Times New Roman" w:eastAsia="Times New Roman" w:hAnsi="Times New Roman"/>
          <w:sz w:val="24"/>
          <w:szCs w:val="24"/>
        </w:rPr>
        <w:tab/>
      </w:r>
      <w:r w:rsidRPr="00D93E9A">
        <w:rPr>
          <w:rFonts w:ascii="Times New Roman" w:eastAsia="Times New Roman" w:hAnsi="Times New Roman"/>
          <w:sz w:val="24"/>
          <w:szCs w:val="24"/>
        </w:rPr>
        <w:tab/>
      </w:r>
      <w:r w:rsidRPr="00D93E9A">
        <w:rPr>
          <w:rFonts w:ascii="Times New Roman" w:eastAsia="Times New Roman" w:hAnsi="Times New Roman"/>
          <w:sz w:val="24"/>
          <w:szCs w:val="24"/>
        </w:rPr>
        <w:tab/>
      </w:r>
      <w:r w:rsidRPr="00AD1EA3">
        <w:rPr>
          <w:rFonts w:ascii="Times New Roman" w:eastAsia="Times New Roman" w:hAnsi="Times New Roman"/>
          <w:b/>
          <w:sz w:val="24"/>
          <w:szCs w:val="24"/>
        </w:rPr>
        <w:t>26. 5. 2021</w:t>
      </w:r>
    </w:p>
    <w:p w:rsidR="004C72D4" w:rsidRPr="00D93E9A" w:rsidRDefault="004C72D4" w:rsidP="00F04CA5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72D4" w:rsidRPr="00D93E9A" w:rsidRDefault="004C72D4" w:rsidP="00F04CA5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93E9A">
        <w:rPr>
          <w:rFonts w:ascii="Times New Roman" w:eastAsia="Times New Roman" w:hAnsi="Times New Roman"/>
          <w:sz w:val="24"/>
          <w:szCs w:val="24"/>
        </w:rPr>
        <w:t>Datum zahájení příjmu žádostí:</w:t>
      </w:r>
      <w:r w:rsidRPr="00D93E9A">
        <w:rPr>
          <w:rFonts w:ascii="Times New Roman" w:eastAsia="Times New Roman" w:hAnsi="Times New Roman"/>
          <w:sz w:val="24"/>
          <w:szCs w:val="24"/>
        </w:rPr>
        <w:tab/>
      </w:r>
      <w:r w:rsidRPr="00D93E9A">
        <w:rPr>
          <w:rFonts w:ascii="Times New Roman" w:eastAsia="Times New Roman" w:hAnsi="Times New Roman"/>
          <w:sz w:val="24"/>
          <w:szCs w:val="24"/>
        </w:rPr>
        <w:tab/>
      </w:r>
      <w:r w:rsidRPr="00D93E9A">
        <w:rPr>
          <w:rFonts w:ascii="Times New Roman" w:eastAsia="Times New Roman" w:hAnsi="Times New Roman"/>
          <w:b/>
          <w:sz w:val="24"/>
          <w:szCs w:val="24"/>
        </w:rPr>
        <w:t>31. 5. 2021</w:t>
      </w:r>
    </w:p>
    <w:p w:rsidR="004C72D4" w:rsidRPr="00D93E9A" w:rsidRDefault="004C72D4" w:rsidP="00F04CA5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E9A">
        <w:rPr>
          <w:rFonts w:ascii="Times New Roman" w:eastAsia="Times New Roman" w:hAnsi="Times New Roman" w:cs="Times New Roman"/>
          <w:sz w:val="24"/>
          <w:szCs w:val="24"/>
        </w:rPr>
        <w:t xml:space="preserve">Datum ukončení příjmu žádostí: </w:t>
      </w:r>
      <w:r w:rsidRPr="00D93E9A">
        <w:rPr>
          <w:rFonts w:ascii="Times New Roman" w:eastAsia="Times New Roman" w:hAnsi="Times New Roman" w:cs="Times New Roman"/>
          <w:sz w:val="24"/>
          <w:szCs w:val="24"/>
        </w:rPr>
        <w:tab/>
      </w:r>
      <w:r w:rsidRPr="00D93E9A">
        <w:rPr>
          <w:rFonts w:ascii="Times New Roman" w:eastAsia="Times New Roman" w:hAnsi="Times New Roman" w:cs="Times New Roman"/>
          <w:sz w:val="24"/>
          <w:szCs w:val="24"/>
        </w:rPr>
        <w:tab/>
      </w:r>
      <w:r w:rsidRPr="00D93E9A">
        <w:rPr>
          <w:rFonts w:ascii="Times New Roman" w:eastAsia="Times New Roman" w:hAnsi="Times New Roman" w:cs="Times New Roman"/>
          <w:b/>
          <w:sz w:val="24"/>
          <w:szCs w:val="24"/>
        </w:rPr>
        <w:t>30. 6. 2021</w:t>
      </w:r>
    </w:p>
    <w:p w:rsidR="004C72D4" w:rsidRPr="00CA022B" w:rsidRDefault="004C72D4" w:rsidP="00F04CA5">
      <w:pPr>
        <w:pStyle w:val="Normln1"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(rozhodující je datum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odeslání žádosti na e-mail a datum 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>poštovního razítka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odeslání datovou schránkou)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 příjmu žádosti proběhne formální kontrola. 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 xml:space="preserve">Vyhodnocení žádostí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odbornou komisí 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proběhne po uplynutí lhůty pro sběr žádostí.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Způsob podávání žádostí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Žádosti se zasílají v elektronické nebo tištěné podob</w:t>
      </w:r>
      <w:r>
        <w:rPr>
          <w:rFonts w:ascii="Times New Roman" w:eastAsia="Times New Roman" w:hAnsi="Times New Roman" w:cs="Times New Roman"/>
          <w:sz w:val="24"/>
          <w:szCs w:val="24"/>
        </w:rPr>
        <w:t>ě na předepsaných formulářích a 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>se všemi povinnými přílohami, a to doložitelným způsobem prostřednictvím datové schránky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Ministerstva kultury: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ID datové schránky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 xml:space="preserve"> 8spaaur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poštovní služby </w:t>
      </w:r>
      <w:r w:rsidRPr="00876F15">
        <w:rPr>
          <w:rFonts w:ascii="Times New Roman" w:eastAsia="Times New Roman" w:hAnsi="Times New Roman" w:cs="Times New Roman"/>
          <w:b/>
          <w:sz w:val="24"/>
          <w:szCs w:val="24"/>
        </w:rPr>
        <w:t>na adresu Ministerstva kultury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, Samostatné oddělení muzeí, Maltézské náměstí 1, 118 11 Praha 1 – Malá Strana, tak aby byly ministerstvu zaslány nejpozději do data ukončení příjmu žádostí (datum poštovního razítka </w:t>
      </w:r>
      <w:r w:rsidRPr="00F6442C">
        <w:rPr>
          <w:rFonts w:ascii="Times New Roman" w:eastAsia="Times New Roman" w:hAnsi="Times New Roman" w:cs="Times New Roman"/>
          <w:sz w:val="24"/>
          <w:szCs w:val="24"/>
        </w:rPr>
        <w:t>30. 6. 2021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), nebo osobně prostřednictvím podatelny Ministerstva kultury nejpozději </w:t>
      </w:r>
      <w:r w:rsidRPr="00F6442C">
        <w:rPr>
          <w:rFonts w:ascii="Times New Roman" w:eastAsia="Times New Roman" w:hAnsi="Times New Roman" w:cs="Times New Roman"/>
          <w:sz w:val="24"/>
          <w:szCs w:val="24"/>
        </w:rPr>
        <w:t>30. 6. 2021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Žádost </w:t>
      </w:r>
      <w:r>
        <w:rPr>
          <w:rFonts w:ascii="Times New Roman" w:eastAsia="Times New Roman" w:hAnsi="Times New Roman" w:cs="Times New Roman"/>
          <w:sz w:val="24"/>
          <w:szCs w:val="24"/>
        </w:rPr>
        <w:t>musí být zaslána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také elektronicky v den podání na </w:t>
      </w: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CA022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vyzva.covid2@mkcr.cz</w:t>
        </w:r>
      </w:hyperlink>
      <w:r w:rsidRPr="00CA02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(v předmětu emailu žadatel/název projektu, </w:t>
      </w:r>
      <w:r>
        <w:rPr>
          <w:rFonts w:ascii="Times New Roman" w:eastAsia="Times New Roman" w:hAnsi="Times New Roman" w:cs="Times New Roman"/>
          <w:sz w:val="24"/>
          <w:szCs w:val="24"/>
        </w:rPr>
        <w:t>přiložit formulář žádosti a povinné přílohy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vč. popisu činnosti žadatele a seznam objektů, které žadatel provozuje jako muzeum, galerii, výstavní síň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>Upozorňujeme, že celkový limit ministerstva pro příjem jednotlivých elektronických zásilek je max. 9 MB.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Žadatel je oprávněn podat pouze jednu žádost o dotaci v tomto programu. (Pokud má žadatel pod sebou více subjektů oprávněných žádat, je třeba podat žádost komplexní.)</w:t>
      </w: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Žádostem předloženým po termínu, neúplně či chybně vyplněným, bez povinných příloh či obsahově nevyhovujícím nebude dotace ze státního rozpočtu poskytnuta. Řízení o těchto žádostech ministerstvo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možné </w:t>
      </w: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zastav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usnesením podle § 14j odst. 4 zákona č. 218/2000 Sb., o rozpočtových pravidlech, v platném znění. </w:t>
      </w: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Dotace nebude poskytnuta žadateli, který opožděně, neúplně nebo nesprávně vyúčtoval dotaci poskytnutou Ministerstvem kultury v roce 2020.</w:t>
      </w:r>
    </w:p>
    <w:p w:rsidR="004C72D4" w:rsidRPr="00CA022B" w:rsidRDefault="004C72D4" w:rsidP="00F04CA5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Vyplněná a podepsaná žádost musí být zaslána (</w:t>
      </w:r>
      <w:r>
        <w:rPr>
          <w:rFonts w:ascii="Times New Roman" w:eastAsia="Times New Roman" w:hAnsi="Times New Roman" w:cs="Times New Roman"/>
          <w:sz w:val="24"/>
          <w:szCs w:val="24"/>
        </w:rPr>
        <w:t>uvedeným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způsob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 viz bod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 xml:space="preserve">. a bod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022B">
        <w:rPr>
          <w:rFonts w:ascii="Times New Roman" w:eastAsia="Times New Roman" w:hAnsi="Times New Roman" w:cs="Times New Roman"/>
          <w:sz w:val="24"/>
          <w:szCs w:val="24"/>
        </w:rPr>
        <w:t>.) v jednom vyhotovení, a to včetně povinných příloh: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overflowPunct w:val="0"/>
        <w:autoSpaceDE w:val="0"/>
        <w:autoSpaceDN w:val="0"/>
        <w:adjustRightInd w:val="0"/>
        <w:spacing w:after="0"/>
        <w:ind w:firstLine="720"/>
        <w:textAlignment w:val="baseline"/>
        <w:rPr>
          <w:rFonts w:ascii="Times New Roman" w:hAnsi="Times New Roman"/>
          <w:b/>
          <w:sz w:val="24"/>
          <w:szCs w:val="24"/>
        </w:rPr>
      </w:pPr>
      <w:r w:rsidRPr="00CA022B">
        <w:rPr>
          <w:rFonts w:ascii="Times New Roman" w:hAnsi="Times New Roman"/>
          <w:b/>
          <w:sz w:val="24"/>
          <w:szCs w:val="24"/>
        </w:rPr>
        <w:t>Náležitosti žádosti o podporu: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72D4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název / jméno žadatele, 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identifikační číslo žadatele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022B">
        <w:rPr>
          <w:rFonts w:ascii="Times New Roman" w:hAnsi="Times New Roman" w:cs="Times New Roman"/>
          <w:sz w:val="24"/>
          <w:szCs w:val="24"/>
        </w:rPr>
        <w:t>DIČ,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bankovní účet žadatele, kam má být zaslána podpora,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datum vzniku či zahájení ekonomické činnosti,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právní forma žadatele,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adresa sídla,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kontaktní údaje žadatele,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identifikace Výzvy, na jejímž základě je žádost podávána,</w:t>
      </w:r>
    </w:p>
    <w:p w:rsidR="004C72D4" w:rsidRPr="00CA022B" w:rsidRDefault="004C72D4" w:rsidP="00F04CA5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A022B">
        <w:rPr>
          <w:rFonts w:ascii="Times New Roman" w:hAnsi="Times New Roman" w:cs="Times New Roman"/>
          <w:sz w:val="24"/>
          <w:szCs w:val="24"/>
          <w:u w:val="single"/>
        </w:rPr>
        <w:t>je-li žadatel právnickou osobou, informaci o identifikaci:</w:t>
      </w:r>
    </w:p>
    <w:p w:rsidR="004C72D4" w:rsidRPr="00CA022B" w:rsidRDefault="004C72D4" w:rsidP="00F04CA5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osob jednajících za zastoupeného s uvedením, zda jednají jako jeho statutární orgán nebo jednají na základě udělené plné moci, včetně dokladu o funkci a pověření,</w:t>
      </w:r>
    </w:p>
    <w:p w:rsidR="004C72D4" w:rsidRPr="00CA022B" w:rsidRDefault="004C72D4" w:rsidP="00F04CA5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osob s podílem v této právnické osobě,</w:t>
      </w:r>
    </w:p>
    <w:p w:rsidR="004C72D4" w:rsidRPr="00CA022B" w:rsidRDefault="004C72D4" w:rsidP="00F04CA5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1134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osob, v nichž má podíl, a o výši tohoto podílu.</w:t>
      </w:r>
    </w:p>
    <w:p w:rsidR="004C72D4" w:rsidRDefault="004C72D4" w:rsidP="00F04CA5">
      <w:pPr>
        <w:overflowPunct w:val="0"/>
        <w:autoSpaceDE w:val="0"/>
        <w:autoSpaceDN w:val="0"/>
        <w:adjustRightInd w:val="0"/>
        <w:spacing w:after="0"/>
        <w:ind w:left="77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Pokud je žadatelem právnická</w:t>
      </w:r>
      <w:r w:rsidRPr="00CA022B">
        <w:rPr>
          <w:rFonts w:ascii="Times New Roman" w:hAnsi="Times New Roman"/>
          <w:sz w:val="24"/>
          <w:szCs w:val="24"/>
        </w:rPr>
        <w:t xml:space="preserve"> osoba, která nemá majitele či osoby s podílem, tyto informace neuvádí.</w:t>
      </w:r>
    </w:p>
    <w:p w:rsidR="004C72D4" w:rsidRDefault="004C72D4" w:rsidP="00F04CA5">
      <w:pPr>
        <w:overflowPunct w:val="0"/>
        <w:autoSpaceDE w:val="0"/>
        <w:autoSpaceDN w:val="0"/>
        <w:adjustRightInd w:val="0"/>
        <w:spacing w:after="0"/>
        <w:ind w:left="774"/>
        <w:textAlignment w:val="baseline"/>
        <w:rPr>
          <w:rFonts w:ascii="Times New Roman" w:hAnsi="Times New Roman"/>
          <w:sz w:val="24"/>
          <w:szCs w:val="24"/>
        </w:rPr>
      </w:pPr>
    </w:p>
    <w:p w:rsidR="004C72D4" w:rsidRPr="00A076C0" w:rsidRDefault="004C72D4" w:rsidP="00F04CA5">
      <w:pPr>
        <w:overflowPunct w:val="0"/>
        <w:autoSpaceDE w:val="0"/>
        <w:autoSpaceDN w:val="0"/>
        <w:adjustRightInd w:val="0"/>
        <w:spacing w:after="0"/>
        <w:ind w:left="77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doplní název muzea / galerie, které provozuje, a popis činnosti vč. odkazu na webové stránky či jinou veřejnou prezentaci, pokud se prezentuje online a vyčíslení</w:t>
      </w:r>
      <w:r w:rsidRPr="00A076C0">
        <w:rPr>
          <w:rFonts w:ascii="Times New Roman" w:hAnsi="Times New Roman"/>
          <w:sz w:val="24"/>
          <w:szCs w:val="24"/>
        </w:rPr>
        <w:t xml:space="preserve"> prodaných vstupen</w:t>
      </w:r>
      <w:r>
        <w:rPr>
          <w:rFonts w:ascii="Times New Roman" w:hAnsi="Times New Roman"/>
          <w:sz w:val="24"/>
          <w:szCs w:val="24"/>
        </w:rPr>
        <w:t>ek</w:t>
      </w:r>
      <w:r w:rsidRPr="00A076C0">
        <w:rPr>
          <w:rFonts w:ascii="Times New Roman" w:hAnsi="Times New Roman"/>
          <w:sz w:val="24"/>
          <w:szCs w:val="24"/>
        </w:rPr>
        <w:t xml:space="preserve"> za rok 2019 a rok 2020</w:t>
      </w:r>
      <w:r>
        <w:rPr>
          <w:rFonts w:ascii="Times New Roman" w:hAnsi="Times New Roman"/>
          <w:sz w:val="24"/>
          <w:szCs w:val="24"/>
        </w:rPr>
        <w:t xml:space="preserve"> a výnosů z nich (je tedy možné vycházet např. ze statistiky pro zřizovatele, statistických dat uvedených v databázi NIPOS, výpisů z pokladního systému a účetních záznamů). Doklady o reálném počtu prodaných vstupenek a výnosů musí obsahovat</w:t>
      </w:r>
      <w:r w:rsidRPr="00A076C0">
        <w:rPr>
          <w:rFonts w:ascii="Times New Roman" w:hAnsi="Times New Roman"/>
          <w:sz w:val="24"/>
          <w:szCs w:val="24"/>
        </w:rPr>
        <w:t xml:space="preserve"> podpis </w:t>
      </w:r>
      <w:r>
        <w:rPr>
          <w:rFonts w:ascii="Times New Roman" w:hAnsi="Times New Roman"/>
          <w:sz w:val="24"/>
          <w:szCs w:val="24"/>
        </w:rPr>
        <w:t xml:space="preserve">oprávněné osoby a </w:t>
      </w:r>
      <w:r w:rsidRPr="00A076C0">
        <w:rPr>
          <w:rFonts w:ascii="Times New Roman" w:hAnsi="Times New Roman"/>
          <w:sz w:val="24"/>
          <w:szCs w:val="24"/>
        </w:rPr>
        <w:t>osoby odpovědné za účetnictví.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2D4" w:rsidRPr="00CA022B" w:rsidRDefault="004C72D4" w:rsidP="00F04CA5">
      <w:pPr>
        <w:pStyle w:val="Odstavecseseznamem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BA23A7" w:rsidRDefault="004C72D4" w:rsidP="00F04CA5">
      <w:pPr>
        <w:overflowPunct w:val="0"/>
        <w:autoSpaceDE w:val="0"/>
        <w:autoSpaceDN w:val="0"/>
        <w:adjustRightInd w:val="0"/>
        <w:spacing w:after="0"/>
        <w:ind w:firstLine="720"/>
        <w:textAlignment w:val="baseline"/>
        <w:rPr>
          <w:rFonts w:ascii="Times New Roman" w:hAnsi="Times New Roman"/>
          <w:sz w:val="24"/>
          <w:szCs w:val="24"/>
        </w:rPr>
      </w:pPr>
      <w:r w:rsidRPr="00BA23A7">
        <w:rPr>
          <w:rFonts w:ascii="Times New Roman" w:hAnsi="Times New Roman"/>
          <w:sz w:val="24"/>
          <w:szCs w:val="24"/>
        </w:rPr>
        <w:t>K žádosti žadatel doplní čestná prohlášení a doklady o kontinuální kulturní činnosti:</w:t>
      </w:r>
    </w:p>
    <w:p w:rsidR="004C72D4" w:rsidRPr="00CA022B" w:rsidRDefault="004C72D4" w:rsidP="00F04CA5">
      <w:pPr>
        <w:spacing w:after="0"/>
        <w:ind w:left="1353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>- výroční zprávu žadatele za rok 2019 a 2020</w:t>
      </w:r>
      <w:r>
        <w:rPr>
          <w:rFonts w:ascii="Times New Roman" w:hAnsi="Times New Roman"/>
          <w:sz w:val="24"/>
          <w:szCs w:val="24"/>
        </w:rPr>
        <w:t xml:space="preserve"> nebo soupis činnosti</w:t>
      </w:r>
      <w:r w:rsidRPr="00391C92">
        <w:rPr>
          <w:rFonts w:ascii="Times New Roman" w:hAnsi="Times New Roman"/>
          <w:sz w:val="24"/>
          <w:szCs w:val="24"/>
        </w:rPr>
        <w:t xml:space="preserve"> </w:t>
      </w:r>
      <w:r w:rsidRPr="00CA022B">
        <w:rPr>
          <w:rFonts w:ascii="Times New Roman" w:hAnsi="Times New Roman"/>
          <w:sz w:val="24"/>
          <w:szCs w:val="24"/>
        </w:rPr>
        <w:t>žadatele za rok 2019 a 2020,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C72D4" w:rsidRPr="00CA022B" w:rsidRDefault="004C72D4" w:rsidP="00F04CA5">
      <w:pPr>
        <w:spacing w:after="0"/>
        <w:ind w:left="1353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>- účetn</w:t>
      </w:r>
      <w:r>
        <w:rPr>
          <w:rFonts w:ascii="Times New Roman" w:hAnsi="Times New Roman"/>
          <w:sz w:val="24"/>
          <w:szCs w:val="24"/>
        </w:rPr>
        <w:t>í závěrku za rok 2020</w:t>
      </w:r>
      <w:r w:rsidRPr="00CA022B">
        <w:rPr>
          <w:rFonts w:ascii="Times New Roman" w:hAnsi="Times New Roman"/>
          <w:sz w:val="24"/>
          <w:szCs w:val="24"/>
        </w:rPr>
        <w:t xml:space="preserve"> vč. povinných příloh,</w:t>
      </w:r>
    </w:p>
    <w:p w:rsidR="004C72D4" w:rsidRDefault="004C72D4" w:rsidP="00F04CA5">
      <w:pPr>
        <w:spacing w:after="0"/>
        <w:ind w:left="1353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>- čestn</w:t>
      </w:r>
      <w:r>
        <w:rPr>
          <w:rFonts w:ascii="Times New Roman" w:hAnsi="Times New Roman"/>
          <w:sz w:val="24"/>
          <w:szCs w:val="24"/>
        </w:rPr>
        <w:t>á</w:t>
      </w:r>
      <w:r w:rsidRPr="00CA022B">
        <w:rPr>
          <w:rFonts w:ascii="Times New Roman" w:hAnsi="Times New Roman"/>
          <w:sz w:val="24"/>
          <w:szCs w:val="24"/>
        </w:rPr>
        <w:t xml:space="preserve"> prohlášení </w:t>
      </w:r>
      <w:r>
        <w:rPr>
          <w:rFonts w:ascii="Times New Roman" w:hAnsi="Times New Roman"/>
          <w:sz w:val="24"/>
          <w:szCs w:val="24"/>
        </w:rPr>
        <w:t>vč. prohlášení účetní jednotky</w:t>
      </w:r>
      <w:r w:rsidRPr="00CA022B">
        <w:rPr>
          <w:rFonts w:ascii="Times New Roman" w:hAnsi="Times New Roman"/>
          <w:sz w:val="24"/>
          <w:szCs w:val="24"/>
        </w:rPr>
        <w:t xml:space="preserve">, že </w:t>
      </w:r>
      <w:r>
        <w:rPr>
          <w:rFonts w:ascii="Times New Roman" w:hAnsi="Times New Roman"/>
          <w:sz w:val="24"/>
          <w:szCs w:val="24"/>
        </w:rPr>
        <w:t>daná dotace nepřevyšuje 80 % uznatelných provozních nákladů daného subjektu za rok 2020,</w:t>
      </w:r>
    </w:p>
    <w:p w:rsidR="004C72D4" w:rsidRPr="00AC5D6F" w:rsidRDefault="004C72D4" w:rsidP="00F04CA5">
      <w:pPr>
        <w:spacing w:after="0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</w:t>
      </w:r>
      <w:r w:rsidRPr="00AC5D6F">
        <w:rPr>
          <w:rFonts w:ascii="Times New Roman" w:hAnsi="Times New Roman"/>
          <w:sz w:val="24"/>
          <w:szCs w:val="24"/>
        </w:rPr>
        <w:t>erpání z jiných programů uvede žadatel v žádosti formou místopřísežného prohlášení</w:t>
      </w:r>
      <w:r>
        <w:rPr>
          <w:rFonts w:ascii="Times New Roman" w:hAnsi="Times New Roman"/>
          <w:sz w:val="24"/>
          <w:szCs w:val="24"/>
        </w:rPr>
        <w:t xml:space="preserve"> (n</w:t>
      </w:r>
      <w:r w:rsidRPr="00AC5D6F">
        <w:rPr>
          <w:rFonts w:ascii="Times New Roman" w:hAnsi="Times New Roman"/>
          <w:sz w:val="24"/>
          <w:szCs w:val="24"/>
        </w:rPr>
        <w:t>ení možné na stejný náklad čerpat p</w:t>
      </w:r>
      <w:r>
        <w:rPr>
          <w:rFonts w:ascii="Times New Roman" w:hAnsi="Times New Roman"/>
          <w:sz w:val="24"/>
          <w:szCs w:val="24"/>
        </w:rPr>
        <w:t>odporu z více státních programů),</w:t>
      </w:r>
    </w:p>
    <w:p w:rsidR="004C72D4" w:rsidRPr="00CA022B" w:rsidRDefault="004C72D4" w:rsidP="00F04CA5">
      <w:pPr>
        <w:spacing w:after="0"/>
        <w:ind w:left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022B">
        <w:rPr>
          <w:rFonts w:ascii="Times New Roman" w:hAnsi="Times New Roman"/>
          <w:sz w:val="24"/>
          <w:szCs w:val="24"/>
        </w:rPr>
        <w:t>čestné prohlášení o tom, že účetní závěrka a předkládané informace jsou reálným obrazem účetnictví daného žadatele, včetně ověření auditorem, pokud to vyžaduje zákon č. 563/1991 Sb., o účetnictví, v platném znění,</w:t>
      </w:r>
    </w:p>
    <w:p w:rsidR="004C72D4" w:rsidRPr="00A076C0" w:rsidRDefault="004C72D4" w:rsidP="00F04CA5">
      <w:pPr>
        <w:spacing w:after="0"/>
        <w:rPr>
          <w:rFonts w:ascii="Times New Roman" w:hAnsi="Times New Roman"/>
          <w:sz w:val="24"/>
          <w:szCs w:val="24"/>
        </w:rPr>
      </w:pPr>
    </w:p>
    <w:p w:rsidR="004C72D4" w:rsidRPr="00A076C0" w:rsidRDefault="004C72D4" w:rsidP="00F04C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Součástí žádosti o poskytnutí podpory </w:t>
      </w:r>
      <w:r>
        <w:rPr>
          <w:rFonts w:ascii="Times New Roman" w:eastAsia="Arial" w:hAnsi="Times New Roman"/>
          <w:color w:val="000000"/>
          <w:sz w:val="24"/>
          <w:szCs w:val="24"/>
        </w:rPr>
        <w:t>musí být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 čestn</w:t>
      </w:r>
      <w:r>
        <w:rPr>
          <w:rFonts w:ascii="Times New Roman" w:eastAsia="Arial" w:hAnsi="Times New Roman"/>
          <w:color w:val="000000"/>
          <w:sz w:val="24"/>
          <w:szCs w:val="24"/>
        </w:rPr>
        <w:t>á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 prohlášení žadatele o podporu. Přesné znění bude uvedeno ve </w:t>
      </w:r>
      <w:r>
        <w:rPr>
          <w:rFonts w:ascii="Times New Roman" w:eastAsia="Arial" w:hAnsi="Times New Roman"/>
          <w:color w:val="000000"/>
          <w:sz w:val="24"/>
          <w:szCs w:val="24"/>
        </w:rPr>
        <w:t>formuláři žádosti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, obsahovat bude zejména potvrzení, že: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>všechny informace uvedené v žádosti o podporu jsou úplné a pravdivé;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žadatel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je způsobilým žadatelem dle čl. </w:t>
      </w:r>
      <w:r>
        <w:rPr>
          <w:rFonts w:ascii="Times New Roman" w:eastAsia="Arial" w:hAnsi="Times New Roman"/>
          <w:color w:val="000000"/>
          <w:sz w:val="24"/>
          <w:szCs w:val="24"/>
        </w:rPr>
        <w:t>II p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rogramu;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žadatel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k </w:t>
      </w:r>
      <w:r w:rsidRPr="00A076C0">
        <w:rPr>
          <w:rFonts w:ascii="Times New Roman" w:eastAsia="Arial" w:hAnsi="Times New Roman"/>
          <w:sz w:val="24"/>
          <w:szCs w:val="24"/>
        </w:rPr>
        <w:t xml:space="preserve">datu podání žádosti je, a po celé období, za které </w:t>
      </w:r>
      <w:r>
        <w:rPr>
          <w:rFonts w:ascii="Times New Roman" w:eastAsia="Arial" w:hAnsi="Times New Roman"/>
          <w:sz w:val="24"/>
          <w:szCs w:val="24"/>
        </w:rPr>
        <w:t>žádá</w:t>
      </w:r>
      <w:r w:rsidRPr="00A076C0">
        <w:rPr>
          <w:rFonts w:ascii="Times New Roman" w:eastAsia="Arial" w:hAnsi="Times New Roman"/>
          <w:sz w:val="24"/>
          <w:szCs w:val="24"/>
        </w:rPr>
        <w:t> </w:t>
      </w:r>
      <w:r>
        <w:rPr>
          <w:rFonts w:ascii="Times New Roman" w:eastAsia="Arial" w:hAnsi="Times New Roman"/>
          <w:sz w:val="24"/>
          <w:szCs w:val="24"/>
        </w:rPr>
        <w:t>dotaci</w:t>
      </w:r>
      <w:r w:rsidRPr="00A076C0">
        <w:rPr>
          <w:rFonts w:ascii="Times New Roman" w:eastAsia="Arial" w:hAnsi="Times New Roman"/>
          <w:sz w:val="24"/>
          <w:szCs w:val="24"/>
        </w:rPr>
        <w:t xml:space="preserve">, byl </w:t>
      </w:r>
      <w:r>
        <w:rPr>
          <w:rFonts w:ascii="Times New Roman" w:eastAsia="Arial" w:hAnsi="Times New Roman"/>
          <w:sz w:val="24"/>
          <w:szCs w:val="24"/>
        </w:rPr>
        <w:t xml:space="preserve">právnickou či fyzickou osobou činnou v kontinuální kulturní činnosti; žadatel nepřerušil svou činnost v rámci daného období, na kterou pobírá dotaci a byl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oprávněn k provozování hospodářské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/ podnikatelské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činnosti v oblasti kultury;</w:t>
      </w:r>
    </w:p>
    <w:p w:rsidR="004C72D4" w:rsidRPr="00A076C0" w:rsidRDefault="004C72D4" w:rsidP="00F04CA5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 důsledku přijatých krizových opatření v souvislosti s pandemií onemocnění COVID-19 byla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žadateli </w:t>
      </w: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>jeho činnost omezena či zakázána;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žadatel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je daňovým subjektem dle zákona č. 280/2009 Sb., daňový řád;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dle ustanovení § 136 zákona č. 182/2006 Sb., o úpadku a způsobech jeho řešení (insolvenční zákon) nebylo rozhodnuto o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žadatelově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úpadku;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soud nebo správní orgán nevydal usnesení o nařízení výkonu rozhodnutí na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žadatelův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majetek nebo nenařídil exekuci jeho majetku;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žadatel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není v likvidaci;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žadatel nesplňuje podmínky insolvenčního zákona pro zahájení kolektivního úpadkového řízení s výjimkou těch žadatelů, které splňují podmínky pro zahájení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lastRenderedPageBreak/>
        <w:t>kolektivního úpadkového řízení v důsledku šíření onemocnění COVID-19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>způsobeného virem SARS-CoV-2;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>žadatel bere na vědomí zpracování osobních údajů pro potřeby administrace</w:t>
      </w:r>
      <w:r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4C72D4" w:rsidRPr="00A076C0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>žadatel nebyl ke dni 31. 12. 2019 podnikem v obtížích ve smyslu nařízení Komise č. 651/2014</w:t>
      </w:r>
      <w:r w:rsidRPr="00A076C0">
        <w:rPr>
          <w:rStyle w:val="Znakapoznpodarou"/>
          <w:rFonts w:ascii="Times New Roman" w:eastAsia="Arial" w:hAnsi="Times New Roman"/>
          <w:color w:val="000000"/>
          <w:sz w:val="24"/>
          <w:szCs w:val="24"/>
        </w:rPr>
        <w:footnoteReference w:id="4"/>
      </w:r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; tato podmínka se nepoužije, pokud je </w:t>
      </w:r>
      <w:proofErr w:type="spellStart"/>
      <w:r w:rsidRPr="00A076C0">
        <w:rPr>
          <w:rFonts w:ascii="Times New Roman" w:eastAsia="Arial" w:hAnsi="Times New Roman"/>
          <w:color w:val="000000"/>
          <w:sz w:val="24"/>
          <w:szCs w:val="24"/>
        </w:rPr>
        <w:t>mikropodnikem</w:t>
      </w:r>
      <w:proofErr w:type="spellEnd"/>
      <w:r w:rsidRPr="00A076C0">
        <w:rPr>
          <w:rFonts w:ascii="Times New Roman" w:eastAsia="Arial" w:hAnsi="Times New Roman"/>
          <w:color w:val="000000"/>
          <w:sz w:val="24"/>
          <w:szCs w:val="24"/>
        </w:rPr>
        <w:t xml:space="preserve"> nebo malým podnikem (ve smyslu přílohy I nařízení Komise č. 651/2014), vůči kterému nebylo zahájeno kolektivní úpadkové řízení a neobdržel podporu na záchranu nebo podporu na restrukturalizaci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; </w:t>
      </w:r>
    </w:p>
    <w:p w:rsidR="004C72D4" w:rsidRDefault="004C72D4" w:rsidP="00F04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076C0">
        <w:rPr>
          <w:rFonts w:ascii="Times New Roman" w:eastAsia="Arial" w:hAnsi="Times New Roman"/>
          <w:color w:val="000000"/>
          <w:sz w:val="24"/>
          <w:szCs w:val="24"/>
        </w:rPr>
        <w:t>žadatel nemá ke dni podání žádosti žádné nedoplatky po lhůtě splatnosti ve vztahu ke státnímu rozpočtu, státním fondům, rozpočtu územního samosprávného celku nebo ke zdravotní pojišťovně</w:t>
      </w:r>
      <w:r>
        <w:rPr>
          <w:rFonts w:ascii="Times New Roman" w:eastAsia="Arial" w:hAnsi="Times New Roman"/>
          <w:color w:val="000000"/>
          <w:sz w:val="24"/>
          <w:szCs w:val="24"/>
        </w:rPr>
        <w:t>.</w:t>
      </w:r>
      <w:r w:rsidRPr="00A076C0">
        <w:rPr>
          <w:rStyle w:val="Znakapoznpodarou"/>
          <w:rFonts w:ascii="Times New Roman" w:eastAsia="Arial" w:hAnsi="Times New Roman"/>
          <w:color w:val="000000"/>
          <w:sz w:val="24"/>
          <w:szCs w:val="24"/>
        </w:rPr>
        <w:footnoteReference w:id="5"/>
      </w:r>
    </w:p>
    <w:p w:rsidR="004C72D4" w:rsidRDefault="004C72D4" w:rsidP="00F04C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04CA5" w:rsidRPr="00A076C0" w:rsidRDefault="00F04CA5" w:rsidP="00F04CA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Hodnocení žádostí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numPr>
          <w:ilvl w:val="0"/>
          <w:numId w:val="5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 xml:space="preserve">Hodnotitelský tým MK </w:t>
      </w:r>
      <w:r w:rsidRPr="00CA022B">
        <w:rPr>
          <w:rFonts w:ascii="Times New Roman" w:eastAsia="Arial" w:hAnsi="Times New Roman" w:cs="Times New Roman"/>
          <w:b/>
          <w:sz w:val="24"/>
          <w:szCs w:val="24"/>
        </w:rPr>
        <w:t>provede formální kontrolu žádostí</w:t>
      </w:r>
      <w:r w:rsidRPr="00CA022B">
        <w:rPr>
          <w:rFonts w:ascii="Times New Roman" w:eastAsia="Arial" w:hAnsi="Times New Roman" w:cs="Times New Roman"/>
          <w:sz w:val="24"/>
          <w:szCs w:val="24"/>
        </w:rPr>
        <w:t>, přičemž posuzuje, zda:</w:t>
      </w:r>
    </w:p>
    <w:p w:rsidR="004C72D4" w:rsidRPr="00CA022B" w:rsidRDefault="004C72D4" w:rsidP="00F04CA5">
      <w:pPr>
        <w:pStyle w:val="Normln1"/>
        <w:numPr>
          <w:ilvl w:val="0"/>
          <w:numId w:val="4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žádost je podána ve stanoveném termínu,</w:t>
      </w:r>
    </w:p>
    <w:p w:rsidR="004C72D4" w:rsidRPr="00CA022B" w:rsidRDefault="004C72D4" w:rsidP="00F04CA5">
      <w:pPr>
        <w:pStyle w:val="Normln1"/>
        <w:numPr>
          <w:ilvl w:val="0"/>
          <w:numId w:val="4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žádost je podána oprávněným žadatelem,</w:t>
      </w:r>
    </w:p>
    <w:p w:rsidR="004C72D4" w:rsidRPr="00CA022B" w:rsidRDefault="004C72D4" w:rsidP="00F04CA5">
      <w:pPr>
        <w:pStyle w:val="Normln1"/>
        <w:numPr>
          <w:ilvl w:val="0"/>
          <w:numId w:val="4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žádost byla podána předepsaným způsobem popsaným výše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A022B">
        <w:rPr>
          <w:rFonts w:ascii="Times New Roman" w:eastAsia="Arial" w:hAnsi="Times New Roman" w:cs="Times New Roman"/>
          <w:sz w:val="24"/>
          <w:szCs w:val="24"/>
        </w:rPr>
        <w:t>na standardizovaném formuláři včetně předepsaných příloh,</w:t>
      </w:r>
    </w:p>
    <w:p w:rsidR="004C72D4" w:rsidRPr="00CA022B" w:rsidRDefault="004C72D4" w:rsidP="00F04CA5">
      <w:pPr>
        <w:pStyle w:val="Normln1"/>
        <w:numPr>
          <w:ilvl w:val="0"/>
          <w:numId w:val="4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žádost včetně příloh je vyplněna úplně a správně,</w:t>
      </w:r>
    </w:p>
    <w:p w:rsidR="004C72D4" w:rsidRPr="00CA022B" w:rsidRDefault="004C72D4" w:rsidP="00F04CA5">
      <w:pPr>
        <w:pStyle w:val="Normln1"/>
        <w:numPr>
          <w:ilvl w:val="0"/>
          <w:numId w:val="4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žádost je podepsána předepsaným způsobem (žadatelem či osobou oprávněnou jednat za žadatele vč. přiloženého zplnomocnění k danému úkonu)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 xml:space="preserve">Předložené žádosti </w:t>
      </w:r>
      <w:r>
        <w:rPr>
          <w:rFonts w:ascii="Times New Roman" w:hAnsi="Times New Roman" w:cs="Times New Roman"/>
          <w:b/>
          <w:sz w:val="24"/>
          <w:szCs w:val="24"/>
        </w:rPr>
        <w:t xml:space="preserve">budou </w:t>
      </w:r>
      <w:r w:rsidRPr="00CA022B">
        <w:rPr>
          <w:rFonts w:ascii="Times New Roman" w:hAnsi="Times New Roman" w:cs="Times New Roman"/>
          <w:b/>
          <w:sz w:val="24"/>
          <w:szCs w:val="24"/>
        </w:rPr>
        <w:t>zařazen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CA022B">
        <w:rPr>
          <w:rFonts w:ascii="Times New Roman" w:hAnsi="Times New Roman" w:cs="Times New Roman"/>
          <w:b/>
          <w:sz w:val="24"/>
          <w:szCs w:val="24"/>
        </w:rPr>
        <w:t xml:space="preserve"> do výběrového dotačního řízení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CA022B">
        <w:rPr>
          <w:rFonts w:ascii="Times New Roman" w:hAnsi="Times New Roman" w:cs="Times New Roman"/>
          <w:b/>
          <w:sz w:val="24"/>
          <w:szCs w:val="24"/>
        </w:rPr>
        <w:t xml:space="preserve">odborná komise </w:t>
      </w:r>
      <w:r>
        <w:rPr>
          <w:rFonts w:ascii="Times New Roman" w:hAnsi="Times New Roman" w:cs="Times New Roman"/>
          <w:b/>
          <w:sz w:val="24"/>
          <w:szCs w:val="24"/>
        </w:rPr>
        <w:t xml:space="preserve">je následně </w:t>
      </w:r>
      <w:r w:rsidRPr="00CA022B">
        <w:rPr>
          <w:rFonts w:ascii="Times New Roman" w:hAnsi="Times New Roman" w:cs="Times New Roman"/>
          <w:b/>
          <w:sz w:val="24"/>
          <w:szCs w:val="24"/>
        </w:rPr>
        <w:t>posoudí a ohodnotí.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2D4" w:rsidRPr="00CA022B" w:rsidRDefault="004C72D4" w:rsidP="00F04CA5">
      <w:pPr>
        <w:pStyle w:val="Normln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2D4" w:rsidRPr="00CA022B" w:rsidRDefault="004C72D4" w:rsidP="00F04CA5">
      <w:pPr>
        <w:pStyle w:val="Normln1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A022B">
        <w:rPr>
          <w:rFonts w:ascii="Times New Roman" w:eastAsia="Arial" w:hAnsi="Times New Roman" w:cs="Times New Roman"/>
          <w:b/>
          <w:sz w:val="24"/>
          <w:szCs w:val="24"/>
        </w:rPr>
        <w:t xml:space="preserve">Žádosti, které nesplní některou z výše uvedených náležitostí, nebudou předloženy odborné komisi pro výběrové dotační řízení k posouzení a hodnocení, nýbrž pouze ve formě seznamu s uvedením důvodů vyřazení, které komise vezme na vědomí. </w:t>
      </w:r>
    </w:p>
    <w:p w:rsidR="004C72D4" w:rsidRPr="00CA022B" w:rsidRDefault="004C72D4" w:rsidP="00F04CA5">
      <w:pPr>
        <w:pStyle w:val="Normln1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C72D4" w:rsidRPr="00CA022B" w:rsidRDefault="004C72D4" w:rsidP="00F04CA5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A022B">
        <w:rPr>
          <w:rFonts w:ascii="Times New Roman" w:hAnsi="Times New Roman" w:cs="Times New Roman"/>
          <w:i w:val="0"/>
          <w:color w:val="auto"/>
          <w:sz w:val="24"/>
          <w:szCs w:val="24"/>
        </w:rPr>
        <w:t>Řízení o poskytnutí podpory</w:t>
      </w:r>
    </w:p>
    <w:p w:rsidR="004C72D4" w:rsidRPr="00CA022B" w:rsidRDefault="004C72D4" w:rsidP="00F04CA5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Řízení o poskytnutí podpory (dále jen „řízení“) vede Ministerstvo kultury a postupuje v něm podle § 14 a násl. rozpočtových pravidel. </w:t>
      </w:r>
    </w:p>
    <w:p w:rsidR="004C72D4" w:rsidRPr="00CA022B" w:rsidRDefault="004C72D4" w:rsidP="00F04CA5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Účastníkem řízení je pouze žadatel.</w:t>
      </w:r>
    </w:p>
    <w:p w:rsidR="004C72D4" w:rsidRPr="00CA022B" w:rsidRDefault="004C72D4" w:rsidP="00F04CA5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Komunikace s žadatelem bude probíhat přes datovou schránku či udané kontakt</w:t>
      </w:r>
      <w:r>
        <w:rPr>
          <w:rFonts w:ascii="Times New Roman" w:hAnsi="Times New Roman" w:cs="Times New Roman"/>
          <w:sz w:val="24"/>
          <w:szCs w:val="24"/>
        </w:rPr>
        <w:t>ní údaje</w:t>
      </w:r>
      <w:r w:rsidRPr="00CA022B">
        <w:rPr>
          <w:rFonts w:ascii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Odstavecseseznamem"/>
        <w:overflowPunct w:val="0"/>
        <w:autoSpaceDE w:val="0"/>
        <w:autoSpaceDN w:val="0"/>
        <w:adjustRightInd w:val="0"/>
        <w:spacing w:after="0"/>
        <w:ind w:left="115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A022B">
        <w:rPr>
          <w:rFonts w:ascii="Times New Roman" w:hAnsi="Times New Roman" w:cs="Times New Roman"/>
          <w:i w:val="0"/>
          <w:color w:val="auto"/>
          <w:sz w:val="24"/>
          <w:szCs w:val="24"/>
        </w:rPr>
        <w:t>Vady žádosti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 dodání dalších podkladů</w:t>
      </w:r>
    </w:p>
    <w:p w:rsidR="004C72D4" w:rsidRPr="00CA022B" w:rsidRDefault="004C72D4" w:rsidP="00F04CA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Žadatelé budou na základě ustanovení § 14k odst. 1 rozpočtových pravidel vyzýváni k odstranění vad své žádosti, jež budou identifikovány v rámci formálního hodnocení. To se netýká těch vad žádosti, které jsou svou povahou neodstranitelné (např. nedodržení lhůty pro podání žádosti apod.). </w:t>
      </w:r>
    </w:p>
    <w:p w:rsidR="004C72D4" w:rsidRPr="00CA022B" w:rsidRDefault="004C72D4" w:rsidP="00F04CA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Odstranění vad žádosti je možné pouze dvakrát v téže věci. </w:t>
      </w:r>
    </w:p>
    <w:p w:rsidR="004C72D4" w:rsidRPr="00CA022B" w:rsidRDefault="004C72D4" w:rsidP="00F04CA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Lhůta pro odstranění vad žádosti činí čtrnáct (14) kalendářních dní ode dne, kdy bude žadateli doručena výzva k odstranění vad žádosti. Ministerstvo kultury může na žádost žadatele stanovenou lhůtu prodloužit. </w:t>
      </w:r>
    </w:p>
    <w:p w:rsidR="004C72D4" w:rsidRPr="00CA022B" w:rsidRDefault="004C72D4" w:rsidP="00F04CA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V případě neodstranění vad žádosti ve stanovené lhůtě, Ministerstvo kultury řízení o žádosti zastaví. </w:t>
      </w:r>
    </w:p>
    <w:p w:rsidR="004C72D4" w:rsidRDefault="004C72D4" w:rsidP="00F04CA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Ministerstvo kultury si vyhrazuje, že mohou žadateli o poskytnutí podpory doporučit úpravu žádosti, lze-li předpokládat, že opravená žádost bude shledána jako způsobilá, vyhoví-li žadatel o dotaci tomuto doporučení, posuzuje ministerstvo upravenou žádost.</w:t>
      </w:r>
    </w:p>
    <w:p w:rsidR="004C72D4" w:rsidRDefault="004C72D4" w:rsidP="00F04CA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4D8D">
        <w:rPr>
          <w:rFonts w:ascii="Times New Roman" w:hAnsi="Times New Roman" w:cs="Times New Roman"/>
          <w:sz w:val="24"/>
          <w:szCs w:val="24"/>
        </w:rPr>
        <w:t xml:space="preserve">Ministerstvo kultury si vyhrazuje, že může kdykoliv v průběhu řízení vyzvat žadatele k doložení podkladů nebo údajů nezbytných pro vydání rozhodnutí o poskytnutí podpory. </w:t>
      </w:r>
    </w:p>
    <w:p w:rsidR="004C72D4" w:rsidRPr="00CE4D8D" w:rsidRDefault="004C72D4" w:rsidP="00F04CA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4D8D">
        <w:rPr>
          <w:rFonts w:ascii="Times New Roman" w:hAnsi="Times New Roman" w:cs="Times New Roman"/>
          <w:sz w:val="24"/>
          <w:szCs w:val="24"/>
        </w:rPr>
        <w:t>K doložení dalších podkladů poskytne ministerstvo žadateli lhůtu přiměřenou povaze vyžádaných dalších podkladů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Informace o výsledcích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S výsledky výběrového dotačního řízení budou žadatelé seznámeni:</w:t>
      </w:r>
    </w:p>
    <w:p w:rsidR="004C72D4" w:rsidRPr="001B626E" w:rsidRDefault="004C72D4" w:rsidP="00F04CA5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26E">
        <w:rPr>
          <w:rFonts w:ascii="Times New Roman" w:eastAsia="Times New Roman" w:hAnsi="Times New Roman" w:cs="Times New Roman"/>
          <w:sz w:val="24"/>
          <w:szCs w:val="24"/>
        </w:rPr>
        <w:t xml:space="preserve">zveřejněním na internetových stránkách Ministerstva kultury nejpozději do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111F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111F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111F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2021,</w:t>
      </w:r>
    </w:p>
    <w:p w:rsidR="004C72D4" w:rsidRPr="001B626E" w:rsidRDefault="004C72D4" w:rsidP="00F04CA5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B626E">
        <w:rPr>
          <w:rFonts w:ascii="Times New Roman" w:hAnsi="Times New Roman" w:cs="Times New Roman"/>
          <w:noProof/>
          <w:sz w:val="24"/>
          <w:szCs w:val="24"/>
        </w:rPr>
        <w:t xml:space="preserve">vydáním rozhodnutí ministerstva o poskytnutí neinvestiční dotace ze státního rozpočtu ČR na rok </w:t>
      </w:r>
      <w:r w:rsidRPr="00F945B8">
        <w:rPr>
          <w:rFonts w:ascii="Times New Roman" w:hAnsi="Times New Roman" w:cs="Times New Roman"/>
          <w:noProof/>
          <w:sz w:val="24"/>
          <w:szCs w:val="24"/>
        </w:rPr>
        <w:t>2021</w:t>
      </w:r>
      <w:r w:rsidRPr="001B626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B626E">
        <w:rPr>
          <w:rFonts w:ascii="Times New Roman" w:hAnsi="Times New Roman" w:cs="Times New Roman"/>
          <w:noProof/>
          <w:sz w:val="24"/>
          <w:szCs w:val="24"/>
        </w:rPr>
        <w:t>dle § 14 zákona č. 218/2000 Sb., o rozpočtových pravidlech a</w:t>
      </w:r>
      <w:r w:rsidR="003111FD">
        <w:rPr>
          <w:rFonts w:ascii="Times New Roman" w:hAnsi="Times New Roman" w:cs="Times New Roman"/>
          <w:noProof/>
          <w:sz w:val="24"/>
          <w:szCs w:val="24"/>
        </w:rPr>
        <w:t> </w:t>
      </w:r>
      <w:r w:rsidRPr="001B626E">
        <w:rPr>
          <w:rFonts w:ascii="Times New Roman" w:hAnsi="Times New Roman" w:cs="Times New Roman"/>
          <w:noProof/>
          <w:sz w:val="24"/>
          <w:szCs w:val="24"/>
        </w:rPr>
        <w:t>o</w:t>
      </w:r>
      <w:r w:rsidR="003111FD">
        <w:rPr>
          <w:rFonts w:ascii="Times New Roman" w:hAnsi="Times New Roman" w:cs="Times New Roman"/>
          <w:noProof/>
          <w:sz w:val="24"/>
          <w:szCs w:val="24"/>
        </w:rPr>
        <w:t> </w:t>
      </w:r>
      <w:r w:rsidRPr="001B626E">
        <w:rPr>
          <w:rFonts w:ascii="Times New Roman" w:hAnsi="Times New Roman" w:cs="Times New Roman"/>
          <w:noProof/>
          <w:sz w:val="24"/>
          <w:szCs w:val="24"/>
        </w:rPr>
        <w:t>změně některých souvisejících zákonů (rozpočtová pravidla), ve znění pozdějších předpisů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B626E">
        <w:rPr>
          <w:rFonts w:ascii="Times New Roman" w:hAnsi="Times New Roman" w:cs="Times New Roman"/>
          <w:noProof/>
          <w:sz w:val="24"/>
          <w:szCs w:val="24"/>
        </w:rPr>
        <w:t xml:space="preserve"> na základě </w:t>
      </w:r>
      <w:r>
        <w:rPr>
          <w:rFonts w:ascii="Times New Roman" w:hAnsi="Times New Roman" w:cs="Times New Roman"/>
          <w:noProof/>
          <w:sz w:val="24"/>
          <w:szCs w:val="24"/>
        </w:rPr>
        <w:t>poskytnutých údajů za rok 2020,</w:t>
      </w:r>
    </w:p>
    <w:p w:rsidR="004C72D4" w:rsidRPr="001B626E" w:rsidRDefault="004C72D4" w:rsidP="00F04CA5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vydáním rozhodnutí ministerstva o zamítnutí žádosti,</w:t>
      </w:r>
    </w:p>
    <w:p w:rsidR="004C72D4" w:rsidRPr="00CA022B" w:rsidRDefault="004C72D4" w:rsidP="00F04CA5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A022B">
        <w:rPr>
          <w:rFonts w:ascii="Times New Roman" w:hAnsi="Times New Roman" w:cs="Times New Roman"/>
          <w:sz w:val="24"/>
          <w:szCs w:val="24"/>
        </w:rPr>
        <w:t xml:space="preserve">ydáním usnesení ministerstva o zastavení řízení (§ 14j </w:t>
      </w:r>
      <w:r>
        <w:rPr>
          <w:rFonts w:ascii="Times New Roman" w:hAnsi="Times New Roman" w:cs="Times New Roman"/>
          <w:sz w:val="24"/>
          <w:szCs w:val="24"/>
        </w:rPr>
        <w:t>odst. 4 zákona č. 218/2000 Sb.).</w:t>
      </w:r>
    </w:p>
    <w:p w:rsidR="004C72D4" w:rsidRPr="003F564D" w:rsidRDefault="004C72D4" w:rsidP="00F04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64D">
        <w:rPr>
          <w:rFonts w:ascii="Times New Roman" w:hAnsi="Times New Roman"/>
          <w:sz w:val="24"/>
          <w:szCs w:val="24"/>
        </w:rPr>
        <w:t xml:space="preserve">Proti rozhodnutí poskytovatele není přípustné odvolání ani rozklad. Obnova řízení se nepřipouští, s výjimkou postupu dle </w:t>
      </w:r>
      <w:r w:rsidRPr="003F564D">
        <w:rPr>
          <w:rFonts w:ascii="Times New Roman" w:hAnsi="Times New Roman"/>
          <w:noProof/>
          <w:sz w:val="24"/>
          <w:szCs w:val="24"/>
        </w:rPr>
        <w:t>§</w:t>
      </w:r>
      <w:r w:rsidRPr="003F564D">
        <w:rPr>
          <w:rFonts w:ascii="Times New Roman" w:hAnsi="Times New Roman"/>
          <w:sz w:val="24"/>
          <w:szCs w:val="24"/>
        </w:rPr>
        <w:t xml:space="preserve"> 153 odst. 1 písm. a) správního řádu.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Rozhodnutí nabývá právní moci dnem jeho doručení příjemci.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 xml:space="preserve">Výsledek jednání Komise pro „Program udržitelnosti pro muzea II.“ schvaluje ministr kultury, je konečný a nelze se proti němu odvolat. 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2D4" w:rsidRPr="00CA022B" w:rsidRDefault="004C72D4" w:rsidP="00F04CA5">
      <w:pPr>
        <w:spacing w:after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CA022B">
        <w:rPr>
          <w:rFonts w:ascii="Times New Roman" w:hAnsi="Times New Roman"/>
          <w:b/>
          <w:sz w:val="24"/>
          <w:szCs w:val="24"/>
        </w:rPr>
        <w:lastRenderedPageBreak/>
        <w:t>VII.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Podmínky a způsob poskytnutí dotace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A076C0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ind w:left="709" w:hanging="425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27ECB">
        <w:rPr>
          <w:rFonts w:ascii="Times New Roman" w:hAnsi="Times New Roman" w:cs="Times New Roman"/>
          <w:sz w:val="24"/>
          <w:szCs w:val="24"/>
        </w:rPr>
        <w:t xml:space="preserve">Poskytnutí dotací ze státního rozpočtu ČR se řídí obecně závaznými předpisy. Dotace se poskytují v souladu se zákonem č. 218/2000 Sb., o rozpočtových pravidlech a o změně některých souvisejících zákonů (rozpočtová pravidla), v platném znění, dále v souladu s Usnesením vlády č. 591 ze dne 1. června 2020, o zásadách vlády pro poskytování dotací ze státního rozpočtu ČR nestátním neziskovým organizacím ústředními orgány státní správy, v platném znění. </w:t>
      </w:r>
      <w:r w:rsidRPr="00827ECB">
        <w:rPr>
          <w:rFonts w:ascii="Times New Roman" w:eastAsia="Arial" w:hAnsi="Times New Roman" w:cs="Times New Roman"/>
          <w:sz w:val="24"/>
          <w:szCs w:val="24"/>
        </w:rPr>
        <w:t xml:space="preserve">Podpora poskytnutá prostřednictvím Programu splňuje podmínky bodu 3.1. Sdělení Komise: Dočasný rámec pro opatření státní podpory na podporu hospodářství při stávajícím šíření </w:t>
      </w:r>
      <w:proofErr w:type="spellStart"/>
      <w:r w:rsidRPr="00827ECB">
        <w:rPr>
          <w:rFonts w:ascii="Times New Roman" w:eastAsia="Arial" w:hAnsi="Times New Roman" w:cs="Times New Roman"/>
          <w:sz w:val="24"/>
          <w:szCs w:val="24"/>
        </w:rPr>
        <w:t>koronavirové</w:t>
      </w:r>
      <w:proofErr w:type="spellEnd"/>
      <w:r w:rsidRPr="00827ECB">
        <w:rPr>
          <w:rFonts w:ascii="Times New Roman" w:eastAsia="Arial" w:hAnsi="Times New Roman" w:cs="Times New Roman"/>
          <w:sz w:val="24"/>
          <w:szCs w:val="24"/>
        </w:rPr>
        <w:t xml:space="preserve"> nákazy COVID-19 (dále jen „Dočasný rámec Evropské komise“), dle kterého lze poskytovat </w:t>
      </w:r>
      <w:r w:rsidRPr="00A076C0">
        <w:rPr>
          <w:rFonts w:ascii="Times New Roman" w:eastAsia="Arial" w:hAnsi="Times New Roman" w:cs="Times New Roman"/>
          <w:sz w:val="24"/>
          <w:szCs w:val="24"/>
        </w:rPr>
        <w:t xml:space="preserve">přímé granty (dotace) až do výše </w:t>
      </w:r>
      <w:r>
        <w:rPr>
          <w:rFonts w:ascii="Times New Roman" w:eastAsia="Arial" w:hAnsi="Times New Roman" w:cs="Times New Roman"/>
          <w:sz w:val="24"/>
          <w:szCs w:val="24"/>
        </w:rPr>
        <w:t xml:space="preserve">1,8 mil. EUR </w:t>
      </w:r>
      <w:r w:rsidRPr="00A076C0">
        <w:rPr>
          <w:rFonts w:ascii="Times New Roman" w:eastAsia="Arial" w:hAnsi="Times New Roman" w:cs="Times New Roman"/>
          <w:sz w:val="24"/>
          <w:szCs w:val="24"/>
        </w:rPr>
        <w:t>na podnik</w:t>
      </w: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 řešení naléhavých potřeb likvidity</w:t>
      </w:r>
      <w:r w:rsidRPr="00A076C0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podmínky </w:t>
      </w: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zastřešujícího schématu pro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dotační programy v </w:t>
      </w:r>
      <w:r w:rsidRPr="00A076C0">
        <w:rPr>
          <w:rFonts w:ascii="Times New Roman" w:eastAsia="Arial" w:hAnsi="Times New Roman" w:cs="Times New Roman"/>
          <w:color w:val="000000"/>
          <w:sz w:val="24"/>
          <w:szCs w:val="24"/>
        </w:rPr>
        <w:t>ČR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schváleného Evropskou komisí 10. května 2021.</w:t>
      </w:r>
    </w:p>
    <w:p w:rsidR="004C72D4" w:rsidRPr="00A076C0" w:rsidRDefault="004C72D4" w:rsidP="00F04CA5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A076C0">
        <w:rPr>
          <w:rFonts w:ascii="Times New Roman" w:eastAsia="Arial" w:hAnsi="Times New Roman" w:cs="Times New Roman"/>
          <w:sz w:val="24"/>
          <w:szCs w:val="24"/>
        </w:rPr>
        <w:t xml:space="preserve">Podmínkou poskytnutí podpory je předložení žádosti ve stanoveném termínu a způsobem stanoveným </w:t>
      </w:r>
      <w:r>
        <w:rPr>
          <w:rFonts w:ascii="Times New Roman" w:eastAsia="Arial" w:hAnsi="Times New Roman" w:cs="Times New Roman"/>
          <w:sz w:val="24"/>
          <w:szCs w:val="24"/>
        </w:rPr>
        <w:t>v</w:t>
      </w:r>
      <w:r w:rsidRPr="00A076C0">
        <w:rPr>
          <w:rFonts w:ascii="Times New Roman" w:eastAsia="Arial" w:hAnsi="Times New Roman" w:cs="Times New Roman"/>
          <w:sz w:val="24"/>
          <w:szCs w:val="24"/>
        </w:rPr>
        <w:t xml:space="preserve">ýzvou vyhlášenou </w:t>
      </w: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A076C0">
        <w:rPr>
          <w:rFonts w:ascii="Times New Roman" w:eastAsia="Arial" w:hAnsi="Times New Roman" w:cs="Times New Roman"/>
          <w:sz w:val="24"/>
          <w:szCs w:val="24"/>
        </w:rPr>
        <w:t xml:space="preserve">oskytovatelem podpory na základě </w:t>
      </w:r>
      <w:r>
        <w:rPr>
          <w:rFonts w:ascii="Times New Roman" w:eastAsia="Arial" w:hAnsi="Times New Roman" w:cs="Times New Roman"/>
          <w:sz w:val="24"/>
          <w:szCs w:val="24"/>
        </w:rPr>
        <w:t>p</w:t>
      </w:r>
      <w:r w:rsidRPr="00A076C0">
        <w:rPr>
          <w:rFonts w:ascii="Times New Roman" w:eastAsia="Arial" w:hAnsi="Times New Roman" w:cs="Times New Roman"/>
          <w:sz w:val="24"/>
          <w:szCs w:val="24"/>
        </w:rPr>
        <w:t>rogramu a v souladu s jejími podmínkami.</w:t>
      </w:r>
    </w:p>
    <w:p w:rsidR="004C72D4" w:rsidRPr="00CA022B" w:rsidRDefault="004C72D4" w:rsidP="00F04CA5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A076C0">
        <w:rPr>
          <w:rFonts w:ascii="Times New Roman" w:eastAsia="Arial" w:hAnsi="Times New Roman" w:cs="Times New Roman"/>
          <w:sz w:val="24"/>
          <w:szCs w:val="24"/>
        </w:rPr>
        <w:t>Podpora nebude poskytnuta nebo nebude umožněno její čerpání, pokud příjemce využívá podporu, která byla rozhodnutím</w:t>
      </w:r>
      <w:r w:rsidRPr="00CA022B">
        <w:rPr>
          <w:rFonts w:ascii="Times New Roman" w:eastAsia="Arial" w:hAnsi="Times New Roman" w:cs="Times New Roman"/>
          <w:sz w:val="24"/>
          <w:szCs w:val="24"/>
        </w:rPr>
        <w:t xml:space="preserve"> Evropské komise prohlášena za nezákonnou a nekompatibilní s evropskými předpisy, a dokud taková podpora nebude vrácena včetně odpovídající výše úroků.</w:t>
      </w:r>
    </w:p>
    <w:p w:rsidR="004C72D4" w:rsidRPr="00CA022B" w:rsidRDefault="004C72D4" w:rsidP="00F04CA5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Ministerstvo kultury si vyhrazuje individuální posouzení projektů s možností vznést nesouhlasné stanovisko pro ty žadatele, kteří nenaplňují principy poskytování veřejné kulturní služby.</w:t>
      </w:r>
    </w:p>
    <w:p w:rsidR="004C72D4" w:rsidRPr="00CA022B" w:rsidRDefault="004C72D4" w:rsidP="00F04CA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 xml:space="preserve">Podpora je poskytována formou dotace poskytnuté na bankovní účet příjemce podpory na základě </w:t>
      </w:r>
      <w:r>
        <w:rPr>
          <w:rFonts w:ascii="Times New Roman" w:eastAsia="Arial" w:hAnsi="Times New Roman"/>
          <w:sz w:val="24"/>
          <w:szCs w:val="24"/>
        </w:rPr>
        <w:t>r</w:t>
      </w:r>
      <w:r w:rsidRPr="00CA022B">
        <w:rPr>
          <w:rFonts w:ascii="Times New Roman" w:eastAsia="Arial" w:hAnsi="Times New Roman"/>
          <w:sz w:val="24"/>
          <w:szCs w:val="24"/>
        </w:rPr>
        <w:t xml:space="preserve">ozhodnutí o poskytnutí dotace vydaného poskytovatelem podpory (dále jen „Rozhodnutí“). </w:t>
      </w:r>
    </w:p>
    <w:p w:rsidR="004C72D4" w:rsidRPr="00CA022B" w:rsidRDefault="004C72D4" w:rsidP="00F04CA5">
      <w:pPr>
        <w:pStyle w:val="Odstavecseseznamem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b/>
          <w:sz w:val="24"/>
          <w:szCs w:val="24"/>
        </w:rPr>
        <w:t xml:space="preserve">Žadatelé mohou požádat o podporu na kontinuální činnost v kultuře: </w:t>
      </w:r>
    </w:p>
    <w:p w:rsidR="004C72D4" w:rsidRPr="00CA022B" w:rsidRDefault="004C72D4" w:rsidP="00F04CA5">
      <w:pPr>
        <w:pStyle w:val="Odstavecseseznamem"/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Podpora je poskytována příjemci podpory ve formě dotace ex post na </w:t>
      </w:r>
      <w:r>
        <w:rPr>
          <w:rFonts w:ascii="Times New Roman" w:hAnsi="Times New Roman" w:cs="Times New Roman"/>
          <w:sz w:val="24"/>
          <w:szCs w:val="24"/>
        </w:rPr>
        <w:t xml:space="preserve">provozní </w:t>
      </w:r>
      <w:r w:rsidRPr="00CA022B">
        <w:rPr>
          <w:rFonts w:ascii="Times New Roman" w:hAnsi="Times New Roman" w:cs="Times New Roman"/>
          <w:sz w:val="24"/>
          <w:szCs w:val="24"/>
        </w:rPr>
        <w:t>náklady v souvislosti s vykonávanou kontinuální činností při správě nestátních muzeí a </w:t>
      </w:r>
      <w:r>
        <w:rPr>
          <w:rFonts w:ascii="Times New Roman" w:hAnsi="Times New Roman" w:cs="Times New Roman"/>
          <w:sz w:val="24"/>
          <w:szCs w:val="24"/>
        </w:rPr>
        <w:t>galerií v roce 2020.</w:t>
      </w:r>
    </w:p>
    <w:p w:rsidR="004C72D4" w:rsidRPr="00CA022B" w:rsidRDefault="004C72D4" w:rsidP="00F04CA5">
      <w:pPr>
        <w:pStyle w:val="Odstavecseseznamem"/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Poskytnutá podpora může příjemci pokrýt: až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022B">
        <w:rPr>
          <w:rFonts w:ascii="Times New Roman" w:hAnsi="Times New Roman" w:cs="Times New Roman"/>
          <w:sz w:val="24"/>
          <w:szCs w:val="24"/>
        </w:rPr>
        <w:t xml:space="preserve">0 % uznatelných </w:t>
      </w:r>
      <w:r>
        <w:rPr>
          <w:rFonts w:ascii="Times New Roman" w:hAnsi="Times New Roman" w:cs="Times New Roman"/>
          <w:sz w:val="24"/>
          <w:szCs w:val="24"/>
        </w:rPr>
        <w:t xml:space="preserve">provozních </w:t>
      </w:r>
      <w:r w:rsidRPr="00CA022B">
        <w:rPr>
          <w:rFonts w:ascii="Times New Roman" w:hAnsi="Times New Roman" w:cs="Times New Roman"/>
          <w:sz w:val="24"/>
          <w:szCs w:val="24"/>
        </w:rPr>
        <w:t>nákladů</w:t>
      </w:r>
      <w:r>
        <w:rPr>
          <w:rFonts w:ascii="Times New Roman" w:hAnsi="Times New Roman" w:cs="Times New Roman"/>
          <w:sz w:val="24"/>
          <w:szCs w:val="24"/>
        </w:rPr>
        <w:t xml:space="preserve"> za rok 2020</w:t>
      </w:r>
      <w:r w:rsidRPr="00CA022B">
        <w:rPr>
          <w:rFonts w:ascii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Čerpání z jiných programů uvede žadatel v žádosti formou místopřísežného prohlášení. Není možné na stejný náklad čerpat podporu z více státních programů.</w:t>
      </w:r>
    </w:p>
    <w:p w:rsidR="004C72D4" w:rsidRPr="00AC5D6F" w:rsidRDefault="004C72D4" w:rsidP="00F04CA5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Odborná komise bude přihlížet na rozdíl </w:t>
      </w:r>
      <w:r w:rsidRPr="00CA022B">
        <w:rPr>
          <w:rFonts w:ascii="Times New Roman" w:hAnsi="Times New Roman" w:cs="Times New Roman"/>
          <w:sz w:val="24"/>
          <w:szCs w:val="24"/>
        </w:rPr>
        <w:t>prodaných vstupenek v roce 2019 a 2020</w:t>
      </w:r>
      <w:r>
        <w:rPr>
          <w:rFonts w:ascii="Times New Roman" w:hAnsi="Times New Roman" w:cs="Times New Roman"/>
          <w:sz w:val="24"/>
          <w:szCs w:val="24"/>
        </w:rPr>
        <w:t xml:space="preserve"> a pokles obratu daného subjektu. Komise b</w:t>
      </w:r>
      <w:r w:rsidRPr="00AC5D6F">
        <w:rPr>
          <w:rFonts w:ascii="Times New Roman" w:hAnsi="Times New Roman" w:cs="Times New Roman"/>
          <w:sz w:val="24"/>
          <w:szCs w:val="24"/>
        </w:rPr>
        <w:t xml:space="preserve">ude vycházet z výročních zpráv za rok 2019 a 2020, </w:t>
      </w:r>
      <w:r>
        <w:rPr>
          <w:rFonts w:ascii="Times New Roman" w:hAnsi="Times New Roman" w:cs="Times New Roman"/>
          <w:sz w:val="24"/>
          <w:szCs w:val="24"/>
        </w:rPr>
        <w:t xml:space="preserve">účetní závěrky 2020, statistických </w:t>
      </w:r>
      <w:r w:rsidRPr="00AC5D6F">
        <w:rPr>
          <w:rFonts w:ascii="Times New Roman" w:hAnsi="Times New Roman" w:cs="Times New Roman"/>
          <w:sz w:val="24"/>
          <w:szCs w:val="24"/>
        </w:rPr>
        <w:t xml:space="preserve">dat </w:t>
      </w:r>
      <w:r>
        <w:rPr>
          <w:rFonts w:ascii="Times New Roman" w:hAnsi="Times New Roman" w:cs="Times New Roman"/>
          <w:sz w:val="24"/>
          <w:szCs w:val="24"/>
        </w:rPr>
        <w:t xml:space="preserve">z evidence </w:t>
      </w:r>
      <w:r w:rsidRPr="00AC5D6F">
        <w:rPr>
          <w:rFonts w:ascii="Times New Roman" w:hAnsi="Times New Roman" w:cs="Times New Roman"/>
          <w:sz w:val="24"/>
          <w:szCs w:val="24"/>
        </w:rPr>
        <w:t>NIPOS</w:t>
      </w:r>
      <w:r>
        <w:rPr>
          <w:rFonts w:ascii="Times New Roman" w:hAnsi="Times New Roman" w:cs="Times New Roman"/>
          <w:sz w:val="24"/>
          <w:szCs w:val="24"/>
        </w:rPr>
        <w:t>, pokladních systémů</w:t>
      </w:r>
      <w:r w:rsidRPr="00AC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5D6F">
        <w:rPr>
          <w:rFonts w:ascii="Times New Roman" w:hAnsi="Times New Roman" w:cs="Times New Roman"/>
          <w:sz w:val="24"/>
          <w:szCs w:val="24"/>
        </w:rPr>
        <w:t xml:space="preserve"> prokazatelných účetních podkladů (např. výpisy z účetního systému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5D6F">
        <w:rPr>
          <w:rFonts w:ascii="Times New Roman" w:hAnsi="Times New Roman" w:cs="Times New Roman"/>
          <w:sz w:val="24"/>
          <w:szCs w:val="24"/>
        </w:rPr>
        <w:t>faktury, EET</w:t>
      </w:r>
      <w:r>
        <w:rPr>
          <w:rFonts w:ascii="Times New Roman" w:hAnsi="Times New Roman" w:cs="Times New Roman"/>
          <w:sz w:val="24"/>
          <w:szCs w:val="24"/>
        </w:rPr>
        <w:t>…), ze</w:t>
      </w:r>
      <w:r w:rsidRPr="00AC5D6F">
        <w:rPr>
          <w:rFonts w:ascii="Times New Roman" w:hAnsi="Times New Roman" w:cs="Times New Roman"/>
          <w:sz w:val="24"/>
          <w:szCs w:val="24"/>
        </w:rPr>
        <w:t xml:space="preserve"> kterých </w:t>
      </w:r>
      <w:r>
        <w:rPr>
          <w:rFonts w:ascii="Times New Roman" w:hAnsi="Times New Roman" w:cs="Times New Roman"/>
          <w:sz w:val="24"/>
          <w:szCs w:val="24"/>
        </w:rPr>
        <w:t>budou prokazatelné</w:t>
      </w:r>
      <w:r w:rsidRPr="00AC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výnosy a </w:t>
      </w:r>
      <w:r w:rsidRPr="00AC5D6F">
        <w:rPr>
          <w:rFonts w:ascii="Times New Roman" w:hAnsi="Times New Roman" w:cs="Times New Roman"/>
          <w:sz w:val="24"/>
          <w:szCs w:val="24"/>
        </w:rPr>
        <w:t xml:space="preserve">návštěvnost za </w:t>
      </w:r>
      <w:r>
        <w:rPr>
          <w:rFonts w:ascii="Times New Roman" w:hAnsi="Times New Roman" w:cs="Times New Roman"/>
          <w:sz w:val="24"/>
          <w:szCs w:val="24"/>
        </w:rPr>
        <w:t>rok 2020</w:t>
      </w:r>
      <w:r w:rsidRPr="00AC5D6F">
        <w:rPr>
          <w:rFonts w:ascii="Times New Roman" w:hAnsi="Times New Roman" w:cs="Times New Roman"/>
          <w:sz w:val="24"/>
          <w:szCs w:val="24"/>
        </w:rPr>
        <w:t>.</w:t>
      </w:r>
    </w:p>
    <w:p w:rsidR="004C72D4" w:rsidRPr="00CA022B" w:rsidRDefault="004C72D4" w:rsidP="00F04CA5">
      <w:pPr>
        <w:pStyle w:val="Odstavecseseznamem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 xml:space="preserve">Subjekty, které mají podle zákona č. 536/1991 Sb., o účetnictví, v platném znění, povinnost mít účetní závěrku ověřenou auditorem, ji předloží spolu s výsledky auditu k žádosti. </w:t>
      </w:r>
      <w:bookmarkStart w:id="4" w:name="_Toc59180578"/>
    </w:p>
    <w:p w:rsidR="004C72D4" w:rsidRPr="00CA022B" w:rsidRDefault="004C72D4" w:rsidP="00F04C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C72D4" w:rsidRPr="00CA022B" w:rsidRDefault="004C72D4" w:rsidP="00F04C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360"/>
        <w:jc w:val="both"/>
        <w:rPr>
          <w:rFonts w:ascii="Times New Roman" w:eastAsia="Arial" w:hAnsi="Times New Roman"/>
          <w:b/>
          <w:sz w:val="24"/>
          <w:szCs w:val="24"/>
        </w:rPr>
      </w:pPr>
      <w:r w:rsidRPr="00CA022B">
        <w:rPr>
          <w:rFonts w:ascii="Times New Roman" w:hAnsi="Times New Roman"/>
          <w:b/>
          <w:sz w:val="24"/>
          <w:szCs w:val="24"/>
        </w:rPr>
        <w:t>Ostatní podmínky</w:t>
      </w:r>
      <w:bookmarkEnd w:id="4"/>
    </w:p>
    <w:p w:rsidR="004C72D4" w:rsidRPr="00CA022B" w:rsidRDefault="004C72D4" w:rsidP="00F04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Příjemce podpory je povinen dokumentaci spojenou s přijetím podpory uchovat po dobu 10 let ode dne vydání Rozhodnutí.</w:t>
      </w:r>
    </w:p>
    <w:p w:rsidR="004C72D4" w:rsidRPr="00CA022B" w:rsidRDefault="004C72D4" w:rsidP="00F04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Příjemce podpory je povinen do 10 let od poskytnutí dotace umožnit v plném rozsahu poskytovateli, resp. jiným kontrolním orgánům, provedení kontroly.</w:t>
      </w:r>
    </w:p>
    <w:p w:rsidR="004C72D4" w:rsidRPr="00CA022B" w:rsidRDefault="004C72D4" w:rsidP="00F04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A022B">
        <w:rPr>
          <w:rFonts w:ascii="Times New Roman" w:eastAsia="Arial" w:hAnsi="Times New Roman"/>
          <w:sz w:val="24"/>
          <w:szCs w:val="24"/>
        </w:rPr>
        <w:t>Poskytovatel podpory si vyhrazuje právo podmínky poskytování dotace změnit. Změny poskytovatel podpory zveřejní na svém webu.</w:t>
      </w:r>
    </w:p>
    <w:p w:rsidR="004C72D4" w:rsidRPr="000D3BBC" w:rsidRDefault="004C72D4" w:rsidP="00F04CA5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E36B0">
        <w:rPr>
          <w:rFonts w:ascii="Times New Roman" w:eastAsia="Arial" w:hAnsi="Times New Roman" w:cs="Times New Roman"/>
          <w:b/>
          <w:sz w:val="24"/>
          <w:szCs w:val="24"/>
        </w:rPr>
        <w:t>Subjekt nemůže žádat příspěvek na provozní náklady, na které již obdržel nějakou formu podpory v rámci jiného státního programu</w:t>
      </w:r>
      <w:r>
        <w:rPr>
          <w:rFonts w:ascii="Times New Roman" w:eastAsia="Arial" w:hAnsi="Times New Roman" w:cs="Times New Roman"/>
          <w:sz w:val="24"/>
          <w:szCs w:val="24"/>
        </w:rPr>
        <w:t>, jako je např. program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3BBC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0D3BBC">
        <w:rPr>
          <w:rFonts w:ascii="Times New Roman" w:eastAsia="Arial" w:hAnsi="Times New Roman" w:cs="Times New Roman"/>
          <w:sz w:val="24"/>
          <w:szCs w:val="24"/>
        </w:rPr>
        <w:t xml:space="preserve"> – kultura, v </w:t>
      </w:r>
      <w:r w:rsidRPr="000D3BBC">
        <w:rPr>
          <w:rFonts w:ascii="Times New Roman" w:hAnsi="Times New Roman" w:cs="Times New Roman"/>
          <w:sz w:val="24"/>
          <w:szCs w:val="24"/>
        </w:rPr>
        <w:t xml:space="preserve">Programu udržitelnosti pro muzea zřizovaná nestátními subjekty 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či v jiném dotačním či </w:t>
      </w:r>
      <w:proofErr w:type="spellStart"/>
      <w:r w:rsidRPr="000D3BBC">
        <w:rPr>
          <w:rFonts w:ascii="Times New Roman" w:eastAsia="Arial" w:hAnsi="Times New Roman" w:cs="Times New Roman"/>
          <w:sz w:val="24"/>
          <w:szCs w:val="24"/>
        </w:rPr>
        <w:t>covidovém</w:t>
      </w:r>
      <w:proofErr w:type="spellEnd"/>
      <w:r w:rsidRPr="000D3BBC">
        <w:rPr>
          <w:rFonts w:ascii="Times New Roman" w:eastAsia="Arial" w:hAnsi="Times New Roman" w:cs="Times New Roman"/>
          <w:sz w:val="24"/>
          <w:szCs w:val="24"/>
        </w:rPr>
        <w:t xml:space="preserve"> programu (např. </w:t>
      </w:r>
      <w:proofErr w:type="spellStart"/>
      <w:r w:rsidRPr="000D3BBC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0D3BBC">
        <w:rPr>
          <w:rFonts w:ascii="Times New Roman" w:eastAsia="Arial" w:hAnsi="Times New Roman" w:cs="Times New Roman"/>
          <w:sz w:val="24"/>
          <w:szCs w:val="24"/>
        </w:rPr>
        <w:t xml:space="preserve"> – nájemné, Antivirus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gastro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– uzavřené provozovny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 ap.). Tyto dotace (nebo jejich poměrná část, pokud poskytnutá dotace v některém z program</w:t>
      </w:r>
      <w:r>
        <w:rPr>
          <w:rFonts w:ascii="Times New Roman" w:eastAsia="Arial" w:hAnsi="Times New Roman" w:cs="Times New Roman"/>
          <w:sz w:val="24"/>
          <w:szCs w:val="24"/>
        </w:rPr>
        <w:t>ů přesahuje rozhodné období tohoto programu</w:t>
      </w:r>
      <w:r w:rsidRPr="000D3BBC">
        <w:rPr>
          <w:rFonts w:ascii="Times New Roman" w:eastAsia="Arial" w:hAnsi="Times New Roman" w:cs="Times New Roman"/>
          <w:sz w:val="24"/>
          <w:szCs w:val="24"/>
        </w:rPr>
        <w:t>) budou odečteny od dané nákladové složky žadatele</w:t>
      </w:r>
      <w:r>
        <w:rPr>
          <w:rFonts w:ascii="Times New Roman" w:eastAsia="Arial" w:hAnsi="Times New Roman" w:cs="Times New Roman"/>
          <w:sz w:val="24"/>
          <w:szCs w:val="24"/>
        </w:rPr>
        <w:t>, na kterou je možné žádat (80 % provozních nákladů)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nformaci </w:t>
      </w:r>
      <w:r>
        <w:rPr>
          <w:rFonts w:ascii="Times New Roman" w:eastAsia="Arial" w:hAnsi="Times New Roman" w:cs="Times New Roman"/>
          <w:sz w:val="24"/>
          <w:szCs w:val="24"/>
        </w:rPr>
        <w:t xml:space="preserve">o takovémto čerpání </w:t>
      </w:r>
      <w:r w:rsidRPr="000D3BBC">
        <w:rPr>
          <w:rFonts w:ascii="Times New Roman" w:eastAsia="Arial" w:hAnsi="Times New Roman" w:cs="Times New Roman"/>
          <w:sz w:val="24"/>
          <w:szCs w:val="24"/>
        </w:rPr>
        <w:t xml:space="preserve">je </w:t>
      </w:r>
      <w:r>
        <w:rPr>
          <w:rFonts w:ascii="Times New Roman" w:eastAsia="Arial" w:hAnsi="Times New Roman" w:cs="Times New Roman"/>
          <w:sz w:val="24"/>
          <w:szCs w:val="24"/>
        </w:rPr>
        <w:t xml:space="preserve">žadatel </w:t>
      </w:r>
      <w:r w:rsidRPr="000D3BBC">
        <w:rPr>
          <w:rFonts w:ascii="Times New Roman" w:eastAsia="Arial" w:hAnsi="Times New Roman" w:cs="Times New Roman"/>
          <w:sz w:val="24"/>
          <w:szCs w:val="24"/>
        </w:rPr>
        <w:t>povinen uvést v žádosti.</w:t>
      </w:r>
    </w:p>
    <w:p w:rsidR="004C72D4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Kompenzace nákladů na </w:t>
      </w:r>
      <w:r>
        <w:rPr>
          <w:rFonts w:ascii="Times New Roman" w:hAnsi="Times New Roman" w:cs="Times New Roman"/>
          <w:sz w:val="24"/>
          <w:szCs w:val="24"/>
        </w:rPr>
        <w:t>danou činnost</w:t>
      </w:r>
      <w:r w:rsidRPr="00CA022B">
        <w:rPr>
          <w:rFonts w:ascii="Times New Roman" w:hAnsi="Times New Roman" w:cs="Times New Roman"/>
          <w:sz w:val="24"/>
          <w:szCs w:val="24"/>
        </w:rPr>
        <w:t xml:space="preserve"> musí být spolufinancována žadatelem. Pokud je </w:t>
      </w:r>
      <w:r>
        <w:rPr>
          <w:rFonts w:ascii="Times New Roman" w:hAnsi="Times New Roman" w:cs="Times New Roman"/>
          <w:sz w:val="24"/>
          <w:szCs w:val="24"/>
        </w:rPr>
        <w:t>činnost</w:t>
      </w:r>
      <w:r w:rsidRPr="00CA022B">
        <w:rPr>
          <w:rFonts w:ascii="Times New Roman" w:hAnsi="Times New Roman" w:cs="Times New Roman"/>
          <w:sz w:val="24"/>
          <w:szCs w:val="24"/>
        </w:rPr>
        <w:t xml:space="preserve"> financován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022B">
        <w:rPr>
          <w:rFonts w:ascii="Times New Roman" w:hAnsi="Times New Roman" w:cs="Times New Roman"/>
          <w:sz w:val="24"/>
          <w:szCs w:val="24"/>
        </w:rPr>
        <w:t xml:space="preserve"> dotacemi z různých státních zdrojů, nesmí souběh těchto zdrojů činit více než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02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22B">
        <w:rPr>
          <w:rFonts w:ascii="Times New Roman" w:hAnsi="Times New Roman" w:cs="Times New Roman"/>
          <w:sz w:val="24"/>
          <w:szCs w:val="24"/>
        </w:rPr>
        <w:t>% nákladů. Duplicita stejných nákladů hrazených ze státního rozpočtu není dovolena.</w:t>
      </w:r>
    </w:p>
    <w:p w:rsidR="004C72D4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Při stanovení výše dotace </w:t>
      </w:r>
      <w:r>
        <w:rPr>
          <w:rFonts w:ascii="Times New Roman" w:hAnsi="Times New Roman" w:cs="Times New Roman"/>
          <w:sz w:val="24"/>
          <w:szCs w:val="24"/>
        </w:rPr>
        <w:t>bude komise vycházet</w:t>
      </w:r>
      <w:r w:rsidRPr="00CA022B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 provozních </w:t>
      </w:r>
      <w:r w:rsidRPr="00CA022B">
        <w:rPr>
          <w:rFonts w:ascii="Times New Roman" w:hAnsi="Times New Roman" w:cs="Times New Roman"/>
          <w:sz w:val="24"/>
          <w:szCs w:val="24"/>
        </w:rPr>
        <w:t>nákladů</w:t>
      </w:r>
      <w:r>
        <w:rPr>
          <w:rFonts w:ascii="Times New Roman" w:hAnsi="Times New Roman" w:cs="Times New Roman"/>
          <w:sz w:val="24"/>
          <w:szCs w:val="24"/>
        </w:rPr>
        <w:t xml:space="preserve"> za rok 2020 a</w:t>
      </w:r>
      <w:r w:rsidR="003111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počtu prodaných vstupenek v roce 2019 a 2020</w:t>
      </w:r>
      <w:r w:rsidRPr="00CA022B">
        <w:rPr>
          <w:rFonts w:ascii="Times New Roman" w:hAnsi="Times New Roman" w:cs="Times New Roman"/>
          <w:sz w:val="24"/>
          <w:szCs w:val="24"/>
        </w:rPr>
        <w:t xml:space="preserve">. Dotace může být poskytnuta až do </w:t>
      </w:r>
      <w:r w:rsidRPr="00972D73">
        <w:rPr>
          <w:rFonts w:ascii="Times New Roman" w:hAnsi="Times New Roman" w:cs="Times New Roman"/>
          <w:sz w:val="24"/>
          <w:szCs w:val="24"/>
        </w:rPr>
        <w:t xml:space="preserve">výše </w:t>
      </w:r>
      <w:r w:rsidRPr="00026616">
        <w:rPr>
          <w:rFonts w:ascii="Times New Roman" w:hAnsi="Times New Roman" w:cs="Times New Roman"/>
          <w:sz w:val="24"/>
          <w:szCs w:val="24"/>
        </w:rPr>
        <w:t>80 %</w:t>
      </w:r>
      <w:r w:rsidRPr="00CA022B">
        <w:rPr>
          <w:rFonts w:ascii="Times New Roman" w:hAnsi="Times New Roman" w:cs="Times New Roman"/>
          <w:sz w:val="24"/>
          <w:szCs w:val="24"/>
        </w:rPr>
        <w:t xml:space="preserve"> rozpočtových nákladů</w:t>
      </w:r>
      <w:r>
        <w:rPr>
          <w:rFonts w:ascii="Times New Roman" w:hAnsi="Times New Roman" w:cs="Times New Roman"/>
          <w:sz w:val="24"/>
          <w:szCs w:val="24"/>
        </w:rPr>
        <w:t xml:space="preserve"> za rok 2020</w:t>
      </w:r>
      <w:r w:rsidRPr="00CA022B">
        <w:rPr>
          <w:rFonts w:ascii="Times New Roman" w:hAnsi="Times New Roman" w:cs="Times New Roman"/>
          <w:sz w:val="24"/>
          <w:szCs w:val="24"/>
        </w:rPr>
        <w:t>. V odůvodněných případech může ústřední orgán rozhodnout o poskytnutí dotace až do výše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22B">
        <w:rPr>
          <w:rFonts w:ascii="Times New Roman" w:hAnsi="Times New Roman" w:cs="Times New Roman"/>
          <w:sz w:val="24"/>
          <w:szCs w:val="24"/>
        </w:rPr>
        <w:t xml:space="preserve">% rozpočtových nákladů projektu. Dojde-li k úspoře finančních prostředků, má se za to, že došlo k úspoře prostředků státního rozpočtu. </w:t>
      </w:r>
    </w:p>
    <w:p w:rsidR="004C72D4" w:rsidRPr="00CD45A2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A2">
        <w:rPr>
          <w:rFonts w:ascii="Times New Roman" w:hAnsi="Times New Roman" w:cs="Times New Roman"/>
          <w:b/>
          <w:sz w:val="24"/>
          <w:szCs w:val="24"/>
        </w:rPr>
        <w:t>Dotace se poskytují pouze na neinvestiční náklady související s danou kontinuální činností.</w:t>
      </w:r>
    </w:p>
    <w:p w:rsidR="004C72D4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Státní dotace jsou určeny na úhradu ztrátových nákladů na danou činnost, nemohou být použity za účelem dosažení zisku. </w:t>
      </w:r>
      <w:r>
        <w:rPr>
          <w:rFonts w:ascii="Times New Roman" w:hAnsi="Times New Roman" w:cs="Times New Roman"/>
          <w:sz w:val="24"/>
          <w:szCs w:val="24"/>
        </w:rPr>
        <w:t xml:space="preserve">(Je to příspěvek na pokrytí provozních nákladů.) </w:t>
      </w:r>
    </w:p>
    <w:p w:rsidR="004C72D4" w:rsidRPr="00CA022B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Dotace ze státního rozpočtu nelze poskytovat na benefiční a charitativní akce.</w:t>
      </w:r>
    </w:p>
    <w:p w:rsidR="004C72D4" w:rsidRPr="00CA022B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Dotace jsou poskytovány účelově</w:t>
      </w:r>
      <w:r>
        <w:rPr>
          <w:rFonts w:ascii="Times New Roman" w:hAnsi="Times New Roman" w:cs="Times New Roman"/>
          <w:sz w:val="24"/>
          <w:szCs w:val="24"/>
        </w:rPr>
        <w:t xml:space="preserve"> a podmínky pro jejich použití </w:t>
      </w:r>
      <w:r w:rsidRPr="00CA022B">
        <w:rPr>
          <w:rFonts w:ascii="Times New Roman" w:hAnsi="Times New Roman" w:cs="Times New Roman"/>
          <w:sz w:val="24"/>
          <w:szCs w:val="24"/>
        </w:rPr>
        <w:t xml:space="preserve">jsou součástí výroku „rozhodnutí o poskytnutí dotace“, které příjemci dotace vystaví Ministerstvo kultury. </w:t>
      </w:r>
    </w:p>
    <w:p w:rsidR="004C72D4" w:rsidRPr="00CA022B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lastRenderedPageBreak/>
        <w:t>Příjemce dotace je povinen postupovat v souladu se zákonem č. 134/2016 Sb., o zadávání veřejných zakázek, pokud použije prostředky státního rozpočtu k úhradě zakázky, která je nadlimitní nebo podlimitní veřejnou zakázkou podle tohoto zákona.</w:t>
      </w:r>
    </w:p>
    <w:p w:rsidR="004C72D4" w:rsidRPr="00CA022B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Vyplácení dotací bude uskutečňováno v souladu s případnými regulačními opatřeními Ministerstva financí.</w:t>
      </w:r>
    </w:p>
    <w:p w:rsidR="004C72D4" w:rsidRDefault="004C72D4" w:rsidP="00F04CA5">
      <w:pPr>
        <w:pStyle w:val="Normln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Ministerstvo kultury si vyhrazuje právo změnit způsob proplácení dotace, a to v souladu s případnými změnami nařízenými Ministerstvem financí. Ministerstvo kultury může podle zákona č. 218/2000 Sb. rozhodnutí o poskytnutí dotace změnit, nebo vydat nové rozhodnutí o poskytnutí dotace.</w:t>
      </w:r>
    </w:p>
    <w:p w:rsidR="004C72D4" w:rsidRPr="00CA022B" w:rsidRDefault="004C72D4" w:rsidP="00F04CA5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Arial" w:hAnsi="Times New Roman" w:cs="Times New Roman"/>
          <w:sz w:val="24"/>
          <w:szCs w:val="24"/>
        </w:rPr>
        <w:t>Pokud žadatel nerespektuje nařízení vlády (např. má otevřenou provozovnu) a tím nesplňuje po celou dobu vládní nařízení vyhlášená v rámci nouzového stavu, nemá nárok na dotaci a jeho žádost je vyřazena z nároku na dotaci.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Sledování a kontrola čerpání dotací</w:t>
      </w:r>
    </w:p>
    <w:p w:rsidR="004C72D4" w:rsidRPr="00CA022B" w:rsidRDefault="004C72D4" w:rsidP="00F04CA5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Příjemce dotace odpovídá za efektivní a hospodárné použití prostředků v souladu s účely, na které byly prostředky poskytnuty, dále za jejich řádné a oddělené sledování v účetnictví.</w:t>
      </w:r>
    </w:p>
    <w:p w:rsidR="004C72D4" w:rsidRPr="00CA022B" w:rsidRDefault="004C72D4" w:rsidP="00F04CA5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 xml:space="preserve">Ověřování správnosti použití poskytnutých prostředků podléhá kontrole Samostatného oddělení muzeí Ministerstva kultury, Samostatné oddělení kontroly Ministerstva kultury, územních finančních orgánů a Nejvyššího kontrolního úřadu. </w:t>
      </w:r>
    </w:p>
    <w:p w:rsidR="004C72D4" w:rsidRPr="00CA022B" w:rsidRDefault="004C72D4" w:rsidP="00F04CA5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hAnsi="Times New Roman" w:cs="Times New Roman"/>
          <w:sz w:val="24"/>
          <w:szCs w:val="24"/>
        </w:rPr>
        <w:t>Finanční kontrola, řízení o odnětí dotace a ukládání sankcí za porušení rozpočtové kázně se provádí v souladu s příslušnými ustanoveními zákona č. 218/2000 Sb., o 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4C72D4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CA5" w:rsidRPr="00CA022B" w:rsidRDefault="00F04CA5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IX.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4C72D4" w:rsidRPr="00CA022B" w:rsidRDefault="004C72D4" w:rsidP="00F04CA5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2D4" w:rsidRPr="00CA022B" w:rsidRDefault="004C72D4" w:rsidP="00F04CA5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b/>
          <w:sz w:val="24"/>
          <w:szCs w:val="24"/>
        </w:rPr>
        <w:t>Na dotaci není právní nárok. Výše dotace je závislá na výši státního rozpočtu České republiky.</w:t>
      </w:r>
    </w:p>
    <w:p w:rsidR="004C72D4" w:rsidRPr="00CA022B" w:rsidRDefault="004C72D4" w:rsidP="00F04CA5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Ministerstvo kultury upozorňuje, že na základě žádostí podaných mimo toto výběrové dotační řízení není možné poskytnout dotaci.</w:t>
      </w:r>
    </w:p>
    <w:p w:rsidR="004C72D4" w:rsidRPr="00CA022B" w:rsidRDefault="004C72D4" w:rsidP="00F04C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sz w:val="24"/>
          <w:szCs w:val="24"/>
        </w:rPr>
        <w:t>Osobní údaje žadatele uvedené v žádosti o poskytnutí dotace budou zpracovávány Ministerstvem kultury v souladu se zákonem č. 110/2019 Sb., o zpracování osobních údajů a o změně některých zákonů, v platném znění, za účelem posouzení žádosti. Pokud bude dotace poskytnuta, budou osobní údaje žadatele zveřejněny ve veřejně přístupném informačním systému Ministerstva financí - CEDR, případně jiným způsobem podle platných právních předpisů.</w:t>
      </w:r>
    </w:p>
    <w:p w:rsidR="004C72D4" w:rsidRPr="00CA022B" w:rsidRDefault="004C72D4" w:rsidP="00F04CA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022B">
        <w:rPr>
          <w:rFonts w:ascii="Times New Roman" w:hAnsi="Times New Roman"/>
          <w:noProof/>
          <w:sz w:val="24"/>
          <w:szCs w:val="24"/>
        </w:rPr>
        <w:t>Ministerstvo upozorňuje na povinnost poskytovat statistické údaje podle zákona č. 89/1995 Sb., o státní statistické službě, ve znění pozdějších předpisů.</w:t>
      </w:r>
    </w:p>
    <w:p w:rsidR="004C72D4" w:rsidRPr="00CA022B" w:rsidRDefault="004C72D4" w:rsidP="00F04CA5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lastRenderedPageBreak/>
        <w:t>Finanční prostředky budou přidělovány účelově rozhodnutím, jehož součástí budou závazné podmínky jejich využití.</w:t>
      </w:r>
    </w:p>
    <w:p w:rsidR="004C72D4" w:rsidRPr="00CA022B" w:rsidRDefault="004C72D4" w:rsidP="00F04CA5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Zaslané žádosti Ministerstvo kultury žadatelům nevrací.</w:t>
      </w:r>
    </w:p>
    <w:p w:rsidR="004C72D4" w:rsidRPr="00D46248" w:rsidRDefault="004C72D4" w:rsidP="00F04CA5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6248">
        <w:rPr>
          <w:rFonts w:ascii="Times New Roman" w:eastAsia="Arial" w:hAnsi="Times New Roman" w:cs="Times New Roman"/>
          <w:color w:val="000000"/>
          <w:sz w:val="24"/>
          <w:szCs w:val="24"/>
        </w:rPr>
        <w:t>Podpora se dle bodu 3.1 Dočasného rámce Evropské komise poskytuje do 31. prosince 2021 a nejvýše do nevyčerpané výše limitu na jednoho příjemce podpory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jeden </w:t>
      </w:r>
      <w:r w:rsidRPr="00D46248">
        <w:rPr>
          <w:rFonts w:ascii="Times New Roman" w:eastAsia="Arial" w:hAnsi="Times New Roman" w:cs="Times New Roman"/>
          <w:color w:val="000000"/>
          <w:sz w:val="24"/>
          <w:szCs w:val="24"/>
        </w:rPr>
        <w:t>podnik).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</w:p>
    <w:p w:rsidR="00EF6846" w:rsidRDefault="00EF6846" w:rsidP="00F04CA5">
      <w:pPr>
        <w:spacing w:after="0"/>
        <w:rPr>
          <w:rFonts w:ascii="Times New Roman" w:hAnsi="Times New Roman"/>
        </w:rPr>
      </w:pPr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B8001B">
        <w:rPr>
          <w:rFonts w:ascii="Times New Roman" w:eastAsia="Arial" w:hAnsi="Times New Roman" w:cs="Times New Roman"/>
          <w:b/>
          <w:i/>
          <w:sz w:val="24"/>
          <w:szCs w:val="24"/>
        </w:rPr>
        <w:t>KONTAKT:</w:t>
      </w:r>
      <w:r w:rsidRPr="00B8001B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8001B">
        <w:rPr>
          <w:rFonts w:ascii="Times New Roman" w:eastAsia="Arial" w:hAnsi="Times New Roman" w:cs="Times New Roman"/>
          <w:sz w:val="24"/>
          <w:szCs w:val="24"/>
        </w:rPr>
        <w:t>Mgr. Tereza Habartová</w:t>
      </w:r>
    </w:p>
    <w:p w:rsidR="00495300" w:rsidRPr="00B8001B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+420 257 085 472</w:t>
      </w:r>
    </w:p>
    <w:p w:rsidR="00495300" w:rsidRDefault="00495300" w:rsidP="00495300">
      <w:pPr>
        <w:pStyle w:val="Normln1"/>
        <w:spacing w:after="0"/>
        <w:jc w:val="both"/>
        <w:rPr>
          <w:rStyle w:val="Hypertextovodkaz"/>
          <w:rFonts w:ascii="Times New Roman" w:eastAsia="Arial" w:hAnsi="Times New Roman" w:cs="Times New Roman"/>
          <w:i/>
          <w:sz w:val="24"/>
          <w:szCs w:val="24"/>
        </w:rPr>
      </w:pPr>
      <w:hyperlink r:id="rId9" w:history="1">
        <w:r w:rsidRPr="00B8001B">
          <w:rPr>
            <w:rStyle w:val="Hypertextovodkaz"/>
            <w:rFonts w:ascii="Times New Roman" w:eastAsia="Arial" w:hAnsi="Times New Roman" w:cs="Times New Roman"/>
            <w:i/>
            <w:sz w:val="24"/>
            <w:szCs w:val="24"/>
          </w:rPr>
          <w:t>vyzva.covid</w:t>
        </w:r>
        <w:r w:rsidRPr="00B8001B">
          <w:rPr>
            <w:rStyle w:val="Hypertextovodkaz"/>
            <w:rFonts w:ascii="Times New Roman" w:eastAsia="Arial" w:hAnsi="Times New Roman" w:cs="Times New Roman"/>
            <w:b/>
            <w:i/>
            <w:sz w:val="24"/>
            <w:szCs w:val="24"/>
          </w:rPr>
          <w:t>2</w:t>
        </w:r>
        <w:r w:rsidRPr="00B8001B">
          <w:rPr>
            <w:rStyle w:val="Hypertextovodkaz"/>
            <w:rFonts w:ascii="Times New Roman" w:eastAsia="Arial" w:hAnsi="Times New Roman" w:cs="Times New Roman"/>
            <w:i/>
            <w:sz w:val="24"/>
            <w:szCs w:val="24"/>
          </w:rPr>
          <w:t>@mkcr.cz</w:t>
        </w:r>
      </w:hyperlink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Samostatné oddělení muzeí</w:t>
      </w:r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Ministerstvo kultury </w:t>
      </w:r>
    </w:p>
    <w:p w:rsidR="00495300" w:rsidRDefault="00495300" w:rsidP="00495300">
      <w:pPr>
        <w:pStyle w:val="Normln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Maltézské náměstí 1</w:t>
      </w:r>
    </w:p>
    <w:p w:rsidR="00495300" w:rsidRDefault="00495300" w:rsidP="00495300">
      <w:pPr>
        <w:pStyle w:val="Normln1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022B">
        <w:rPr>
          <w:rFonts w:ascii="Times New Roman" w:eastAsia="Times New Roman" w:hAnsi="Times New Roman" w:cs="Times New Roman"/>
          <w:sz w:val="24"/>
          <w:szCs w:val="24"/>
        </w:rPr>
        <w:t>118 11 Praha 1</w:t>
      </w:r>
    </w:p>
    <w:p w:rsidR="00EF6846" w:rsidRPr="00E22553" w:rsidRDefault="00EF6846" w:rsidP="00F04CA5">
      <w:pPr>
        <w:spacing w:after="0"/>
        <w:rPr>
          <w:rFonts w:ascii="Times New Roman" w:hAnsi="Times New Roman"/>
        </w:rPr>
      </w:pPr>
      <w:bookmarkStart w:id="5" w:name="_GoBack"/>
      <w:bookmarkEnd w:id="5"/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D4" w:rsidRDefault="004C72D4" w:rsidP="004C72D4">
      <w:pPr>
        <w:spacing w:after="0" w:line="240" w:lineRule="auto"/>
      </w:pPr>
      <w:r>
        <w:separator/>
      </w:r>
    </w:p>
  </w:endnote>
  <w:endnote w:type="continuationSeparator" w:id="0">
    <w:p w:rsidR="004C72D4" w:rsidRDefault="004C72D4" w:rsidP="004C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D4" w:rsidRDefault="004C72D4" w:rsidP="004C72D4">
      <w:pPr>
        <w:spacing w:after="0" w:line="240" w:lineRule="auto"/>
      </w:pPr>
      <w:r>
        <w:separator/>
      </w:r>
    </w:p>
  </w:footnote>
  <w:footnote w:type="continuationSeparator" w:id="0">
    <w:p w:rsidR="004C72D4" w:rsidRDefault="004C72D4" w:rsidP="004C72D4">
      <w:pPr>
        <w:spacing w:after="0" w:line="240" w:lineRule="auto"/>
      </w:pPr>
      <w:r>
        <w:continuationSeparator/>
      </w:r>
    </w:p>
  </w:footnote>
  <w:footnote w:id="1">
    <w:p w:rsidR="004C72D4" w:rsidRPr="002A1F5F" w:rsidRDefault="004C72D4" w:rsidP="004C72D4">
      <w:pPr>
        <w:pStyle w:val="Textpoznpodarou"/>
      </w:pPr>
      <w:r w:rsidRPr="002A1F5F">
        <w:rPr>
          <w:rStyle w:val="Znakapoznpodarou"/>
        </w:rPr>
        <w:footnoteRef/>
      </w:r>
      <w:r w:rsidRPr="002A1F5F">
        <w:t xml:space="preserve"> Viz zákon č. 203/2006 Sb., </w:t>
      </w:r>
      <w:r w:rsidRPr="002A1F5F">
        <w:rPr>
          <w:color w:val="000000"/>
          <w:shd w:val="clear" w:color="auto" w:fill="FFFFFF"/>
        </w:rPr>
        <w:t>o některých druzích podpory kultury a o změně některých souvisejících zákonů.</w:t>
      </w:r>
    </w:p>
  </w:footnote>
  <w:footnote w:id="2">
    <w:p w:rsidR="004C72D4" w:rsidRPr="00B949CF" w:rsidRDefault="004C72D4" w:rsidP="004C72D4">
      <w:pPr>
        <w:pStyle w:val="Textpoznpodarou"/>
        <w:ind w:left="142" w:right="-428" w:hanging="142"/>
        <w:jc w:val="both"/>
        <w:rPr>
          <w:rFonts w:ascii="Arial" w:hAnsi="Arial" w:cs="Arial"/>
          <w:sz w:val="18"/>
          <w:szCs w:val="18"/>
        </w:rPr>
      </w:pPr>
      <w:r w:rsidRPr="005C07B9">
        <w:rPr>
          <w:rStyle w:val="Znakapoznpodarou"/>
          <w:rFonts w:ascii="Arial" w:hAnsi="Arial" w:cs="Arial"/>
          <w:sz w:val="18"/>
          <w:szCs w:val="18"/>
        </w:rPr>
        <w:footnoteRef/>
      </w:r>
      <w:r w:rsidRPr="005C07B9">
        <w:rPr>
          <w:rFonts w:ascii="Arial" w:hAnsi="Arial" w:cs="Arial"/>
          <w:sz w:val="18"/>
          <w:szCs w:val="18"/>
        </w:rPr>
        <w:t xml:space="preserve"> Nařízení </w:t>
      </w:r>
      <w:r w:rsidRPr="00B949CF">
        <w:rPr>
          <w:rFonts w:ascii="Arial" w:hAnsi="Arial" w:cs="Arial"/>
          <w:sz w:val="18"/>
          <w:szCs w:val="18"/>
        </w:rPr>
        <w:t>Komise (EU) č. 651/2014 ze dne 17. června 2014, kterým se v souladu s články 107 a 108 Smlouvy prohlašují určité kategorie podpory za slučitelné s vnitřním trhem.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4C72D4" w:rsidRPr="00CA22A9" w:rsidRDefault="004C72D4" w:rsidP="004C72D4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CA22A9">
        <w:rPr>
          <w:rStyle w:val="Znakapoznpodarou"/>
          <w:rFonts w:ascii="Arial" w:hAnsi="Arial" w:cs="Arial"/>
          <w:sz w:val="18"/>
        </w:rPr>
        <w:footnoteRef/>
      </w:r>
      <w:r w:rsidRPr="00CA22A9">
        <w:rPr>
          <w:rFonts w:ascii="Arial" w:hAnsi="Arial" w:cs="Arial"/>
          <w:sz w:val="18"/>
        </w:rPr>
        <w:t xml:space="preserve"> Dohoda o splátkách nebo posečkání daně podle § 156 zákona č. 280/2009 Sb., daňový řád, nejsou stavem, kdy by byl žadatel o podporu v prodlení. Za nedoplatky se nepovažují opožděné platby daní či odvodů v souvislosti s šířením onemocnění COVID-19 způsobeného virem SARS-CoV-2 na základě liberačních balíčků Ministerstva financí či opatření Ministerstva práce a sociálních věcí). Za prodlení s platbou se nepovažuje situace, kdy má žadatel stanoven splátkový kalendář v souvislosti s šířením onemocnění COVID-19 a je tedy považován za </w:t>
      </w:r>
      <w:proofErr w:type="spellStart"/>
      <w:r w:rsidRPr="00CA22A9">
        <w:rPr>
          <w:rFonts w:ascii="Arial" w:hAnsi="Arial" w:cs="Arial"/>
          <w:sz w:val="18"/>
        </w:rPr>
        <w:t>bezdlužného</w:t>
      </w:r>
      <w:proofErr w:type="spellEnd"/>
      <w:r w:rsidRPr="00CA22A9">
        <w:rPr>
          <w:rFonts w:ascii="Arial" w:hAnsi="Arial" w:cs="Arial"/>
          <w:sz w:val="18"/>
        </w:rPr>
        <w:t>.</w:t>
      </w:r>
    </w:p>
  </w:footnote>
  <w:footnote w:id="4">
    <w:p w:rsidR="004C72D4" w:rsidRPr="00B949CF" w:rsidRDefault="004C72D4" w:rsidP="004C72D4">
      <w:pPr>
        <w:pStyle w:val="Textpoznpodarou"/>
        <w:ind w:left="142" w:right="-428" w:hanging="142"/>
        <w:jc w:val="both"/>
        <w:rPr>
          <w:rFonts w:ascii="Arial" w:hAnsi="Arial" w:cs="Arial"/>
          <w:sz w:val="18"/>
          <w:szCs w:val="18"/>
        </w:rPr>
      </w:pPr>
      <w:r w:rsidRPr="005C07B9">
        <w:rPr>
          <w:rStyle w:val="Znakapoznpodarou"/>
          <w:rFonts w:ascii="Arial" w:hAnsi="Arial" w:cs="Arial"/>
          <w:sz w:val="18"/>
          <w:szCs w:val="18"/>
        </w:rPr>
        <w:footnoteRef/>
      </w:r>
      <w:r w:rsidRPr="005C07B9">
        <w:rPr>
          <w:rFonts w:ascii="Arial" w:hAnsi="Arial" w:cs="Arial"/>
          <w:sz w:val="18"/>
          <w:szCs w:val="18"/>
        </w:rPr>
        <w:t xml:space="preserve"> Nařízení </w:t>
      </w:r>
      <w:r w:rsidRPr="00B949CF">
        <w:rPr>
          <w:rFonts w:ascii="Arial" w:hAnsi="Arial" w:cs="Arial"/>
          <w:sz w:val="18"/>
          <w:szCs w:val="18"/>
        </w:rPr>
        <w:t>Komise (EU) č. 651/2014 ze dne 17. června 2014, kterým se v souladu s články 107 a 108 Smlouvy prohlašují určité kategorie podpory za slučitelné s vnitřním trhem.</w:t>
      </w:r>
    </w:p>
  </w:footnote>
  <w:footnote w:id="5">
    <w:p w:rsidR="004C72D4" w:rsidRPr="00CA22A9" w:rsidRDefault="004C72D4" w:rsidP="004C72D4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CA22A9">
        <w:rPr>
          <w:rStyle w:val="Znakapoznpodarou"/>
          <w:rFonts w:ascii="Arial" w:hAnsi="Arial" w:cs="Arial"/>
          <w:sz w:val="18"/>
        </w:rPr>
        <w:footnoteRef/>
      </w:r>
      <w:r w:rsidRPr="00CA22A9">
        <w:rPr>
          <w:rFonts w:ascii="Arial" w:hAnsi="Arial" w:cs="Arial"/>
          <w:sz w:val="18"/>
        </w:rPr>
        <w:t xml:space="preserve"> Dohoda o splátkách nebo posečkání daně podle § 156 zákona č. 280/2009 Sb., daňový řád, nejsou stavem, kdy by byl žadatel o podporu v prodlení. Za nedoplatky se nepovažují opožděné platby daní či odvodů v souvislosti s šířením onemocnění COVID-19 způsobeného virem SARS-CoV-2 na základě liberačních balíčků Ministerstva financí či opatření Ministerstva práce a sociálních věcí). Za prodlení s platbou se nepovažuje situace, kdy má žadatel stanoven splátkový kalendář v souvislosti s šířením onemocnění COVID-19 a j</w:t>
      </w:r>
      <w:r>
        <w:rPr>
          <w:rFonts w:ascii="Arial" w:hAnsi="Arial" w:cs="Arial"/>
          <w:sz w:val="18"/>
        </w:rPr>
        <w:t xml:space="preserve">e tedy považován za </w:t>
      </w:r>
      <w:proofErr w:type="spellStart"/>
      <w:r>
        <w:rPr>
          <w:rFonts w:ascii="Arial" w:hAnsi="Arial" w:cs="Arial"/>
          <w:sz w:val="18"/>
        </w:rPr>
        <w:t>bezdlužného</w:t>
      </w:r>
      <w:proofErr w:type="spellEnd"/>
      <w:r>
        <w:rPr>
          <w:rFonts w:ascii="Arial" w:hAnsi="Arial" w:cs="Arial"/>
          <w:sz w:val="18"/>
        </w:rPr>
        <w:t>.</w:t>
      </w:r>
    </w:p>
  </w:footnote>
  <w:footnote w:id="6">
    <w:p w:rsidR="004C72D4" w:rsidRPr="00E05293" w:rsidRDefault="004C72D4" w:rsidP="004C72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AF0E6E">
        <w:rPr>
          <w:rFonts w:ascii="Times New Roman" w:hAnsi="Times New Roman"/>
          <w:sz w:val="20"/>
          <w:szCs w:val="20"/>
          <w:vertAlign w:val="superscript"/>
        </w:rPr>
        <w:footnoteRef/>
      </w:r>
      <w:r w:rsidRPr="00AF0E6E">
        <w:rPr>
          <w:rFonts w:ascii="Times New Roman" w:eastAsia="Arial" w:hAnsi="Times New Roman"/>
          <w:color w:val="000000"/>
          <w:sz w:val="20"/>
          <w:szCs w:val="20"/>
        </w:rPr>
        <w:t xml:space="preserve"> Odkaz na originální znění dočasného rámce: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hyperlink r:id="rId1" w:history="1">
        <w:r w:rsidRPr="00AF0E6E">
          <w:rPr>
            <w:rStyle w:val="Hypertextovodkaz"/>
            <w:rFonts w:ascii="Times New Roman" w:eastAsia="Arial" w:hAnsi="Times New Roman"/>
            <w:sz w:val="20"/>
            <w:szCs w:val="20"/>
          </w:rPr>
          <w:t>https://ec.europa.eu/competition/state_aid/what_is_new/covid_19.html</w:t>
        </w:r>
      </w:hyperlink>
      <w:r w:rsidRPr="00AF0E6E">
        <w:rPr>
          <w:rStyle w:val="Hypertextovodkaz"/>
          <w:rFonts w:ascii="Times New Roman" w:eastAsia="Arial" w:hAnsi="Times New Roman"/>
          <w:sz w:val="20"/>
          <w:szCs w:val="20"/>
        </w:rPr>
        <w:t xml:space="preserve"> </w:t>
      </w:r>
      <w:r>
        <w:rPr>
          <w:rStyle w:val="Hypertextovodkaz"/>
          <w:rFonts w:ascii="Times New Roman" w:eastAsia="Arial" w:hAnsi="Times New Roman"/>
          <w:sz w:val="20"/>
          <w:szCs w:val="20"/>
        </w:rPr>
        <w:t xml:space="preserve"> </w:t>
      </w:r>
      <w:r w:rsidRPr="00AF0E6E">
        <w:rPr>
          <w:rFonts w:ascii="Times New Roman" w:eastAsia="Arial" w:hAnsi="Times New Roman"/>
          <w:sz w:val="20"/>
          <w:szCs w:val="20"/>
        </w:rPr>
        <w:t>Způsobilým žadatelem, tj. podnikem</w:t>
      </w:r>
      <w:r w:rsidRPr="00AF0E6E">
        <w:rPr>
          <w:rFonts w:ascii="Times New Roman" w:hAnsi="Times New Roman"/>
          <w:sz w:val="20"/>
          <w:szCs w:val="20"/>
        </w:rPr>
        <w:t xml:space="preserve"> se rozumí hospodářská jednotka určená</w:t>
      </w:r>
      <w:r>
        <w:rPr>
          <w:rFonts w:ascii="Times New Roman" w:hAnsi="Times New Roman"/>
          <w:sz w:val="20"/>
          <w:szCs w:val="20"/>
        </w:rPr>
        <w:t xml:space="preserve"> </w:t>
      </w:r>
      <w:r w:rsidRPr="00AF0E6E">
        <w:rPr>
          <w:rFonts w:ascii="Times New Roman" w:hAnsi="Times New Roman"/>
          <w:sz w:val="20"/>
          <w:szCs w:val="20"/>
        </w:rPr>
        <w:t>vymezená dle Přílohy I nařízení Komise č.651/2014 (GBER): „</w:t>
      </w:r>
      <w:r w:rsidRPr="00AF0E6E">
        <w:rPr>
          <w:rFonts w:ascii="Times New Roman" w:hAnsi="Times New Roman"/>
          <w:sz w:val="20"/>
          <w:szCs w:val="20"/>
          <w:shd w:val="clear" w:color="auto" w:fill="FFFFFF"/>
        </w:rPr>
        <w:t>Podnikem se rozumí každý subjekt vykonávající hospodářskou činnost, bez ohledu na svou právní formu. K těmto subjektům patří zejména osoby samostatně výdělečně činné a rodinné podniky vykonávající řemeslné či jiné činnosti a obchodní společnosti nebo sdružení, která pravidelně vykonávají hospodářskou činnost.</w:t>
      </w:r>
      <w:r w:rsidRPr="00AF0E6E">
        <w:rPr>
          <w:rFonts w:ascii="Times New Roman" w:hAnsi="Times New Roman"/>
          <w:sz w:val="20"/>
          <w:szCs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EFA"/>
    <w:multiLevelType w:val="hybridMultilevel"/>
    <w:tmpl w:val="B84E2332"/>
    <w:lvl w:ilvl="0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78114AC"/>
    <w:multiLevelType w:val="hybridMultilevel"/>
    <w:tmpl w:val="97261E72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19B20735"/>
    <w:multiLevelType w:val="hybridMultilevel"/>
    <w:tmpl w:val="A3AA4BE6"/>
    <w:lvl w:ilvl="0" w:tplc="54E2F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636318"/>
    <w:multiLevelType w:val="hybridMultilevel"/>
    <w:tmpl w:val="7AA80F16"/>
    <w:lvl w:ilvl="0" w:tplc="FF945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5A57"/>
    <w:multiLevelType w:val="hybridMultilevel"/>
    <w:tmpl w:val="1FD22CC2"/>
    <w:lvl w:ilvl="0" w:tplc="709A36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8BC"/>
    <w:multiLevelType w:val="hybridMultilevel"/>
    <w:tmpl w:val="A91AC102"/>
    <w:lvl w:ilvl="0" w:tplc="DA3CA9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7453D"/>
    <w:multiLevelType w:val="hybridMultilevel"/>
    <w:tmpl w:val="4A6A2C18"/>
    <w:lvl w:ilvl="0" w:tplc="00D2F83A">
      <w:start w:val="1"/>
      <w:numFmt w:val="lowerLetter"/>
      <w:lvlText w:val="%1)"/>
      <w:lvlJc w:val="left"/>
      <w:pPr>
        <w:ind w:left="248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581F"/>
    <w:multiLevelType w:val="hybridMultilevel"/>
    <w:tmpl w:val="D69838A6"/>
    <w:lvl w:ilvl="0" w:tplc="0405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20751EA"/>
    <w:multiLevelType w:val="hybridMultilevel"/>
    <w:tmpl w:val="C688F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D64A9"/>
    <w:multiLevelType w:val="hybridMultilevel"/>
    <w:tmpl w:val="B60A2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25389"/>
    <w:multiLevelType w:val="multilevel"/>
    <w:tmpl w:val="E60E3E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4A540B"/>
    <w:multiLevelType w:val="hybridMultilevel"/>
    <w:tmpl w:val="DA28CB48"/>
    <w:lvl w:ilvl="0" w:tplc="04050015">
      <w:start w:val="1"/>
      <w:numFmt w:val="upperLetter"/>
      <w:lvlText w:val="%1."/>
      <w:lvlJc w:val="left"/>
      <w:pPr>
        <w:ind w:left="1712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58090D98"/>
    <w:multiLevelType w:val="hybridMultilevel"/>
    <w:tmpl w:val="6B8C7ABE"/>
    <w:lvl w:ilvl="0" w:tplc="921236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08E7128"/>
    <w:multiLevelType w:val="hybridMultilevel"/>
    <w:tmpl w:val="C220C8B6"/>
    <w:lvl w:ilvl="0" w:tplc="7F068B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10C"/>
    <w:multiLevelType w:val="hybridMultilevel"/>
    <w:tmpl w:val="F46C7EB6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E4C38E0"/>
    <w:multiLevelType w:val="hybridMultilevel"/>
    <w:tmpl w:val="09AA1EF6"/>
    <w:lvl w:ilvl="0" w:tplc="1F3E1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72F2D"/>
    <w:multiLevelType w:val="multilevel"/>
    <w:tmpl w:val="8724FB50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338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FC5CAD"/>
    <w:multiLevelType w:val="hybridMultilevel"/>
    <w:tmpl w:val="CEBEE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55171"/>
    <w:multiLevelType w:val="hybridMultilevel"/>
    <w:tmpl w:val="236EA3E6"/>
    <w:lvl w:ilvl="0" w:tplc="040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EDB6336"/>
    <w:multiLevelType w:val="multilevel"/>
    <w:tmpl w:val="23224E00"/>
    <w:lvl w:ilvl="0">
      <w:start w:val="1"/>
      <w:numFmt w:val="bullet"/>
      <w:lvlText w:val="o"/>
      <w:lvlJc w:val="left"/>
      <w:pPr>
        <w:ind w:left="1141" w:hanging="432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27" w:hanging="576"/>
      </w:pPr>
      <w:rPr>
        <w:sz w:val="32"/>
        <w:szCs w:val="32"/>
      </w:rPr>
    </w:lvl>
    <w:lvl w:ilvl="2">
      <w:start w:val="1"/>
      <w:numFmt w:val="decimal"/>
      <w:lvlText w:val="%2%1.%3."/>
      <w:lvlJc w:val="left"/>
      <w:pPr>
        <w:ind w:left="1429" w:hanging="720"/>
      </w:pPr>
    </w:lvl>
    <w:lvl w:ilvl="3">
      <w:start w:val="1"/>
      <w:numFmt w:val="decimal"/>
      <w:lvlText w:val="%1%2.%3.%4."/>
      <w:lvlJc w:val="left"/>
      <w:pPr>
        <w:ind w:left="1573" w:hanging="864"/>
      </w:pPr>
      <w:rPr>
        <w:rFonts w:ascii="Arial" w:eastAsia="Arial" w:hAnsi="Arial" w:cs="Arial"/>
        <w:b/>
        <w:i w:val="0"/>
        <w:sz w:val="28"/>
        <w:szCs w:val="28"/>
      </w:rPr>
    </w:lvl>
    <w:lvl w:ilvl="4">
      <w:start w:val="1"/>
      <w:numFmt w:val="decimal"/>
      <w:lvlText w:val="%1%2.%3.%4.%5.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14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0"/>
  </w:num>
  <w:num w:numId="17">
    <w:abstractNumId w:val="7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E5"/>
    <w:rsid w:val="00081B3D"/>
    <w:rsid w:val="00250184"/>
    <w:rsid w:val="003111FD"/>
    <w:rsid w:val="003638C9"/>
    <w:rsid w:val="00495300"/>
    <w:rsid w:val="004A7D5D"/>
    <w:rsid w:val="004C72D4"/>
    <w:rsid w:val="00841245"/>
    <w:rsid w:val="00D97BE5"/>
    <w:rsid w:val="00E22553"/>
    <w:rsid w:val="00EF6846"/>
    <w:rsid w:val="00F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1"/>
    <w:next w:val="Normln1"/>
    <w:link w:val="Nadpis2Char"/>
    <w:rsid w:val="004C72D4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72D4"/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Normln1">
    <w:name w:val="Normální1"/>
    <w:rsid w:val="004C72D4"/>
    <w:pPr>
      <w:spacing w:after="200" w:line="276" w:lineRule="auto"/>
    </w:pPr>
    <w:rPr>
      <w:rFonts w:cs="Calibri"/>
      <w:sz w:val="22"/>
      <w:szCs w:val="22"/>
    </w:rPr>
  </w:style>
  <w:style w:type="paragraph" w:styleId="Nzev">
    <w:name w:val="Title"/>
    <w:basedOn w:val="Normln1"/>
    <w:next w:val="Normln1"/>
    <w:link w:val="NzevChar"/>
    <w:rsid w:val="004C72D4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C72D4"/>
    <w:rPr>
      <w:rFonts w:ascii="Times New Roman" w:eastAsia="Times New Roman" w:hAnsi="Times New Roman"/>
      <w:b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C72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72D4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C72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72D4"/>
    <w:rPr>
      <w:rFonts w:ascii="Times New Roman" w:eastAsia="Times New Roman" w:hAnsi="Times New Roman"/>
      <w:lang w:eastAsia="de-AT"/>
    </w:rPr>
  </w:style>
  <w:style w:type="character" w:styleId="Znakapoznpodarou">
    <w:name w:val="footnote reference"/>
    <w:basedOn w:val="Standardnpsmoodstavce"/>
    <w:uiPriority w:val="99"/>
    <w:semiHidden/>
    <w:unhideWhenUsed/>
    <w:rsid w:val="004C72D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2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1"/>
    <w:next w:val="Normln1"/>
    <w:link w:val="Nadpis2Char"/>
    <w:rsid w:val="004C72D4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C72D4"/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Normln1">
    <w:name w:val="Normální1"/>
    <w:rsid w:val="004C72D4"/>
    <w:pPr>
      <w:spacing w:after="200" w:line="276" w:lineRule="auto"/>
    </w:pPr>
    <w:rPr>
      <w:rFonts w:cs="Calibri"/>
      <w:sz w:val="22"/>
      <w:szCs w:val="22"/>
    </w:rPr>
  </w:style>
  <w:style w:type="paragraph" w:styleId="Nzev">
    <w:name w:val="Title"/>
    <w:basedOn w:val="Normln1"/>
    <w:next w:val="Normln1"/>
    <w:link w:val="NzevChar"/>
    <w:rsid w:val="004C72D4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C72D4"/>
    <w:rPr>
      <w:rFonts w:ascii="Times New Roman" w:eastAsia="Times New Roman" w:hAnsi="Times New Roman"/>
      <w:b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C72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72D4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C72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72D4"/>
    <w:rPr>
      <w:rFonts w:ascii="Times New Roman" w:eastAsia="Times New Roman" w:hAnsi="Times New Roman"/>
      <w:lang w:eastAsia="de-AT"/>
    </w:rPr>
  </w:style>
  <w:style w:type="character" w:styleId="Znakapoznpodarou">
    <w:name w:val="footnote reference"/>
    <w:basedOn w:val="Standardnpsmoodstavce"/>
    <w:uiPriority w:val="99"/>
    <w:semiHidden/>
    <w:unhideWhenUsed/>
    <w:rsid w:val="004C72D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2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zva.covid2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yzva.covid2@mkcr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competition/state_aid/what_is_new/covid_1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.habartova\AppData\Local\Temp\2CE5CD54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2CE5CD54</Template>
  <TotalTime>0</TotalTime>
  <Pages>12</Pages>
  <Words>3746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Habartová Tereza</dc:creator>
  <cp:lastModifiedBy>Habartová Tereza</cp:lastModifiedBy>
  <cp:revision>2</cp:revision>
  <cp:lastPrinted>2021-05-26T06:29:00Z</cp:lastPrinted>
  <dcterms:created xsi:type="dcterms:W3CDTF">2021-05-26T12:58:00Z</dcterms:created>
  <dcterms:modified xsi:type="dcterms:W3CDTF">2021-05-26T12:58:00Z</dcterms:modified>
</cp:coreProperties>
</file>